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jc w:val="center"/>
        <w:textAlignment w:val="baseline"/>
        <w:rPr>
          <w:rFonts w:asciiTheme="majorBidi" w:eastAsia="HYSinMyeongJo-Medium" w:hAnsiTheme="majorBidi" w:cstheme="majorBidi"/>
          <w:b/>
          <w:bCs/>
          <w:kern w:val="0"/>
          <w:sz w:val="22"/>
          <w:shd w:val="clear" w:color="auto" w:fill="FFFFFF"/>
        </w:rPr>
      </w:pPr>
      <w:r>
        <w:rPr>
          <w:rFonts w:asciiTheme="majorBidi" w:eastAsia="HYSinMyeongJo-Medium" w:hAnsiTheme="majorBidi" w:cstheme="majorBidi"/>
          <w:b/>
          <w:bCs/>
          <w:kern w:val="0"/>
          <w:sz w:val="22"/>
          <w:shd w:val="clear" w:color="auto" w:fill="FFFFFF"/>
        </w:rPr>
        <w:t>Identification and Assessment of Factors Causing Delays in Construction Projects at Public Sector Universities in Khyber Pakhtunkhwa, Pakistan</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Gothic-Medium" w:hAnsiTheme="majorBidi" w:cstheme="majorBidi"/>
          <w:sz w:val="18"/>
          <w:szCs w:val="18"/>
        </w:rPr>
      </w:pPr>
      <w:r>
        <w:rPr>
          <w:rFonts w:asciiTheme="majorBidi" w:eastAsia="HYGothic-Medium" w:hAnsiTheme="majorBidi" w:cstheme="majorBidi"/>
          <w:sz w:val="18"/>
          <w:szCs w:val="18"/>
        </w:rPr>
        <w:t>Mirza Ali</w:t>
      </w:r>
      <w:r>
        <w:rPr>
          <w:rStyle w:val="FootnoteReference"/>
          <w:rFonts w:asciiTheme="majorBidi" w:eastAsia="HYGothic-Medium" w:hAnsiTheme="majorBidi"/>
          <w:sz w:val="18"/>
          <w:szCs w:val="18"/>
        </w:rPr>
        <w:footnoteReference w:id="1"/>
      </w:r>
      <w:r>
        <w:rPr>
          <w:rFonts w:asciiTheme="majorBidi" w:eastAsia="HYGothic-Medium" w:hAnsiTheme="majorBidi" w:cstheme="majorBidi"/>
          <w:sz w:val="18"/>
          <w:szCs w:val="18"/>
        </w:rPr>
        <w:t>, Shahid Iqbal</w:t>
      </w:r>
      <w:r>
        <w:rPr>
          <w:rStyle w:val="FootnoteReference"/>
          <w:rFonts w:asciiTheme="majorBidi" w:eastAsia="HYGothic-Medium" w:hAnsiTheme="majorBidi"/>
          <w:sz w:val="18"/>
          <w:szCs w:val="18"/>
        </w:rPr>
        <w:footnoteReference w:id="2"/>
      </w:r>
      <w:r>
        <w:rPr>
          <w:rFonts w:asciiTheme="majorBidi" w:eastAsia="HYGothic-Medium" w:hAnsiTheme="majorBidi" w:cstheme="majorBidi"/>
          <w:sz w:val="18"/>
          <w:szCs w:val="18"/>
        </w:rPr>
        <w:t>, Waqas Arshad Tanoli</w:t>
      </w:r>
      <w:r>
        <w:rPr>
          <w:rStyle w:val="FootnoteReference"/>
          <w:rFonts w:asciiTheme="majorBidi" w:eastAsia="HYGothic-Medium" w:hAnsiTheme="majorBidi"/>
          <w:sz w:val="18"/>
          <w:szCs w:val="18"/>
        </w:rPr>
        <w:footnoteReference w:id="3"/>
      </w:r>
      <w:r>
        <w:rPr>
          <w:rFonts w:asciiTheme="majorBidi" w:eastAsia="HYGothic-Medium" w:hAnsiTheme="majorBidi" w:cstheme="majorBidi"/>
          <w:iCs/>
          <w:sz w:val="18"/>
          <w:szCs w:val="18"/>
          <w:shd w:val="clear" w:color="auto" w:fill="FFFFFF"/>
        </w:rPr>
        <w:t>,</w:t>
      </w:r>
      <w:r>
        <w:rPr>
          <w:rFonts w:asciiTheme="majorBidi" w:eastAsia="HYGothic-Medium" w:hAnsiTheme="majorBidi" w:cstheme="majorBidi"/>
          <w:iCs/>
          <w:sz w:val="18"/>
          <w:szCs w:val="18"/>
          <w:shd w:val="clear" w:color="auto" w:fill="FFFFFF"/>
          <w:vertAlign w:val="superscript"/>
        </w:rPr>
        <w:t xml:space="preserve"> </w:t>
      </w:r>
      <w:r>
        <w:rPr>
          <w:rFonts w:asciiTheme="majorBidi" w:eastAsia="HYGothic-Medium" w:hAnsiTheme="majorBidi" w:cstheme="majorBidi"/>
          <w:sz w:val="18"/>
          <w:szCs w:val="18"/>
        </w:rPr>
        <w:t>Muhammad Ali Musarat</w:t>
      </w:r>
      <w:r>
        <w:rPr>
          <w:rStyle w:val="FootnoteReference"/>
          <w:rFonts w:asciiTheme="majorBidi" w:eastAsia="HYGothic-Medium" w:hAnsiTheme="majorBidi"/>
          <w:sz w:val="18"/>
          <w:szCs w:val="18"/>
        </w:rPr>
        <w:footnoteReference w:id="4"/>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Gothic-Medium" w:hAnsiTheme="majorBidi" w:cstheme="majorBidi"/>
          <w:sz w:val="22"/>
        </w:rPr>
      </w:pPr>
    </w:p>
    <w:p w:rsidR="00CF1981" w:rsidRPr="002A666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
          <w:i/>
          <w:iCs/>
          <w:kern w:val="0"/>
          <w:szCs w:val="20"/>
          <w:shd w:val="clear" w:color="auto" w:fill="FFFFFF"/>
        </w:rPr>
      </w:pPr>
      <w:r w:rsidRPr="002A6661">
        <w:rPr>
          <w:rFonts w:asciiTheme="majorBidi" w:eastAsia="HYSinMyeongJo-Medium" w:hAnsiTheme="majorBidi" w:cstheme="majorBidi"/>
          <w:b/>
          <w:i/>
          <w:iCs/>
          <w:kern w:val="0"/>
          <w:szCs w:val="20"/>
          <w:shd w:val="clear" w:color="auto" w:fill="FFFFFF"/>
        </w:rPr>
        <w:t>Abstract</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i/>
          <w:szCs w:val="20"/>
          <w:shd w:val="clear" w:color="auto" w:fill="FFFFFF"/>
        </w:rPr>
      </w:pPr>
      <w:r>
        <w:rPr>
          <w:rFonts w:asciiTheme="majorBidi" w:eastAsia="HYSinMyeongJo-Medium" w:hAnsiTheme="majorBidi" w:cstheme="majorBidi"/>
          <w:i/>
          <w:szCs w:val="20"/>
          <w:shd w:val="clear" w:color="auto" w:fill="FFFFFF"/>
        </w:rPr>
        <w:t>In recent years, Pakistan has faced many challenges in promoting higher education. According to government vision 2025, Pakistan is facing numerous problems; one is the provision of higher education. Although many new public sector universities are under construction, public sector universities are usually overloaded due to higher enrollment demand. Besides other construction sector projects, public sector university projects in Pakistan usually face lengthy delays. This research investigated the factors that cause delays in constructing public-sector university projects in Pakistan. Initially, a pilot study was conducted, and structured survey interviews were prepared in consultation with the field experts. Cronbach’s Alpha statistic method was also applied. The result of this study shows that the main delaying factors for public sector university construction projects included: dishonesty in the projects, hiring of irrelevant Project Directors, and allocation of technical positions to incompetent staff, as the top three significant delaying factors. Identifying top delaying factors and their appropriate management will be useful in similar nature projects for timely completion within the allocated budget avoiding time delays and cost overruns.</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
          <w:kern w:val="0"/>
          <w:szCs w:val="20"/>
          <w:shd w:val="clear" w:color="auto" w:fill="FFFFFF"/>
        </w:rPr>
      </w:pPr>
    </w:p>
    <w:p w:rsidR="00CF1981" w:rsidRDefault="00CF1981" w:rsidP="00CF1981">
      <w:pPr>
        <w:widowControl/>
        <w:wordWrap/>
        <w:autoSpaceDE/>
        <w:autoSpaceDN/>
        <w:spacing w:after="0" w:line="240" w:lineRule="auto"/>
        <w:ind w:left="1080" w:hanging="1080"/>
        <w:rPr>
          <w:rFonts w:asciiTheme="majorBidi" w:eastAsia="HYSinMyeongJo-Medium" w:hAnsiTheme="majorBidi" w:cstheme="majorBidi"/>
          <w:i/>
          <w:iCs/>
          <w:szCs w:val="20"/>
          <w:shd w:val="clear" w:color="auto" w:fill="FFFFFF"/>
        </w:rPr>
      </w:pPr>
      <w:r>
        <w:rPr>
          <w:rFonts w:asciiTheme="majorBidi" w:eastAsia="HYSinMyeongJo-Medium" w:hAnsiTheme="majorBidi" w:cstheme="majorBidi"/>
          <w:b/>
          <w:kern w:val="0"/>
          <w:szCs w:val="20"/>
          <w:shd w:val="clear" w:color="auto" w:fill="FFFFFF"/>
        </w:rPr>
        <w:t>Keywords:</w:t>
      </w:r>
      <w:r>
        <w:rPr>
          <w:rFonts w:asciiTheme="majorBidi" w:eastAsia="HYGothic-Medium" w:hAnsiTheme="majorBidi" w:cstheme="majorBidi"/>
          <w:kern w:val="0"/>
          <w:szCs w:val="20"/>
          <w:shd w:val="clear" w:color="auto" w:fill="FFFFFF"/>
        </w:rPr>
        <w:t xml:space="preserve"> </w:t>
      </w:r>
      <w:r>
        <w:rPr>
          <w:rFonts w:asciiTheme="majorBidi" w:eastAsia="HYSinMyeongJo-Medium" w:hAnsiTheme="majorBidi" w:cstheme="majorBidi"/>
          <w:i/>
          <w:iCs/>
          <w:szCs w:val="20"/>
          <w:shd w:val="clear" w:color="auto" w:fill="FFFFFF"/>
        </w:rPr>
        <w:t>Causing</w:t>
      </w:r>
      <w:r>
        <w:rPr>
          <w:rFonts w:asciiTheme="majorBidi" w:eastAsia="HYGothic-Medium" w:hAnsiTheme="majorBidi" w:cstheme="majorBidi"/>
          <w:i/>
          <w:iCs/>
          <w:kern w:val="0"/>
          <w:szCs w:val="20"/>
          <w:shd w:val="clear" w:color="auto" w:fill="FFFFFF"/>
        </w:rPr>
        <w:t xml:space="preserve"> </w:t>
      </w:r>
      <w:r>
        <w:rPr>
          <w:rFonts w:asciiTheme="majorBidi" w:eastAsia="HYSinMyeongJo-Medium" w:hAnsiTheme="majorBidi" w:cstheme="majorBidi"/>
          <w:i/>
          <w:iCs/>
          <w:szCs w:val="20"/>
          <w:shd w:val="clear" w:color="auto" w:fill="FFFFFF"/>
        </w:rPr>
        <w:t>Delay, Public Sector Universities, Civil Works Projects, Cronbach’s Alpha, Relative Importance Index (RII).</w:t>
      </w:r>
    </w:p>
    <w:p w:rsidR="00CF1981" w:rsidRDefault="00CF1981" w:rsidP="00CF1981">
      <w:pPr>
        <w:widowControl/>
        <w:wordWrap/>
        <w:autoSpaceDE/>
        <w:autoSpaceDN/>
        <w:spacing w:after="0" w:line="240" w:lineRule="auto"/>
        <w:rPr>
          <w:rFonts w:asciiTheme="majorBidi" w:eastAsia="HYSinMyeongJo-Medium" w:hAnsiTheme="majorBidi" w:cstheme="majorBidi"/>
          <w:b/>
          <w:kern w:val="0"/>
          <w:szCs w:val="20"/>
          <w:shd w:val="clear" w:color="auto" w:fill="FFFFFF"/>
        </w:rPr>
      </w:pPr>
    </w:p>
    <w:p w:rsidR="00CF1981" w:rsidRDefault="00CF1981" w:rsidP="00CF1981">
      <w:pPr>
        <w:widowControl/>
        <w:wordWrap/>
        <w:autoSpaceDE/>
        <w:autoSpaceDN/>
        <w:spacing w:after="0" w:line="240" w:lineRule="auto"/>
        <w:rPr>
          <w:rFonts w:asciiTheme="majorBidi" w:eastAsia="HYSinMyeongJo-Medium" w:hAnsiTheme="majorBidi" w:cstheme="majorBidi"/>
          <w:b/>
          <w:kern w:val="0"/>
          <w:sz w:val="22"/>
          <w:shd w:val="clear" w:color="auto" w:fill="FFFFFF"/>
        </w:rPr>
      </w:pPr>
      <w:r>
        <w:rPr>
          <w:rFonts w:asciiTheme="majorBidi" w:eastAsia="HYSinMyeongJo-Medium" w:hAnsiTheme="majorBidi" w:cstheme="majorBidi"/>
          <w:b/>
          <w:kern w:val="0"/>
          <w:sz w:val="22"/>
          <w:shd w:val="clear" w:color="auto" w:fill="FFFFFF"/>
        </w:rPr>
        <w:t>Introduction</w:t>
      </w:r>
    </w:p>
    <w:p w:rsidR="00CF1981" w:rsidRDefault="00CF1981" w:rsidP="00CF1981">
      <w:pPr>
        <w:widowControl/>
        <w:wordWrap/>
        <w:autoSpaceDE/>
        <w:autoSpaceDN/>
        <w:spacing w:after="0" w:line="240" w:lineRule="auto"/>
        <w:ind w:firstLine="720"/>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 xml:space="preserve">Construction projects play a fundamental part in the development of nations. Construction projects undertaken by the public sector are viewed as a means of providing economic and social support for the upkeep of rural and urban communities, thereby contributing to the prosperity of their inhabitants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&lt;EndNote&gt;&lt;Cite&gt;&lt;Author&gt;Hussain&lt;/Author&gt;&lt;Year&gt;2017&lt;/Year&gt;&lt;RecNum&gt;36&lt;/RecNum&gt;&lt;DisplayText&gt;(Hussain, Zhu, Ali, &amp;amp; Xu, 2017)&lt;/DisplayText&gt;&lt;record&gt;&lt;rec-number&gt;36&lt;/rec-number&gt;&lt;foreign-keys&gt;&lt;key app="EN" db-id="vfxaxssab220zke05fbvp0atztvft95dwrpz" timestamp="1665196312"&gt;36&lt;/key&gt;&lt;/foreign-keys&gt;&lt;ref-type name="Journal Article"&gt;17&lt;/ref-type&gt;&lt;contributors&gt;&lt;authors&gt;&lt;author&gt;Hussain, Shahid&lt;/author&gt;&lt;author&gt;Zhu, Fangwei&lt;/author&gt;&lt;author&gt;Ali, Zaigham&lt;/author&gt;&lt;author&gt;Xu, Xiaohang&lt;/author&gt;&lt;/authors&gt;&lt;/contributors&gt;&lt;titles&gt;&lt;title&gt;Rural residents’ perception of construction project delays in Pakistan&lt;/title&gt;&lt;secondary-title&gt;Sustainability&lt;/secondary-title&gt;&lt;/titles&gt;&lt;periodical&gt;&lt;full-title&gt;Sustainability&lt;/full-title&gt;&lt;/periodical&gt;&lt;pages&gt;2108&lt;/pages&gt;&lt;volume&gt;9&lt;/volume&gt;&lt;number&gt;11&lt;/number&gt;&lt;dates&gt;&lt;year&gt;2017&lt;/year&gt;&lt;/dates&gt;&lt;isbn&gt;2071-1050&lt;/isbn&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w:t>
      </w:r>
      <w:hyperlink w:anchor="_ENREF_10" w:tooltip="Hussain, 2017 #36" w:history="1">
        <w:r>
          <w:rPr>
            <w:rFonts w:asciiTheme="majorBidi" w:eastAsia="HYSinMyeongJo-Medium" w:hAnsiTheme="majorBidi" w:cstheme="majorBidi"/>
            <w:sz w:val="22"/>
            <w:shd w:val="clear" w:color="auto" w:fill="FFFFFF"/>
          </w:rPr>
          <w:t>Hussain et al., 2017</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The government's goal for public sector university funding is to increase productivity, local businesses, poverty reduction, agricultural development, and easy access to great markets. The concept of win-win policies is appealing due to the potential for improved health services and access to high-quality education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&lt;EndNote&gt;&lt;Cite&gt;&lt;Author&gt;Frimpong&lt;/Author&gt;&lt;Year&gt;2003&lt;/Year&gt;&lt;RecNum&gt;28&lt;/RecNum&gt;&lt;DisplayText&gt;(Frimpong, Oluwoye, &amp;amp; Crawford, 2003)&lt;/DisplayText&gt;&lt;record&gt;&lt;rec-number&gt;28&lt;/rec-number&gt;&lt;foreign-keys&gt;&lt;key app="EN" db-id="vfxaxssab220zke05fbvp0atztvft95dwrpz" timestamp="1663764210"&gt;28&lt;/key&gt;&lt;/foreign-keys&gt;&lt;ref-type name="Journal Article"&gt;17&lt;/ref-type&gt;&lt;contributors&gt;&lt;authors&gt;&lt;author&gt;Frimpong, Yaw&lt;/author&gt;&lt;author&gt;Oluwoye, Jacob&lt;/author&gt;&lt;author&gt;Crawford, Lynn&lt;/author&gt;&lt;/authors&gt;&lt;/contributors&gt;&lt;titles&gt;&lt;title&gt;Causes of delay and cost overruns in construction of groundwater projects in a developing countries; Ghana as a case study&lt;/title&gt;&lt;secondary-title&gt;International Journal of project management&lt;/secondary-title&gt;&lt;/titles&gt;&lt;periodical&gt;&lt;full-title&gt;International journal of project management&lt;/full-title&gt;&lt;/periodical&gt;&lt;pages&gt;321-326&lt;/pages&gt;&lt;volume&gt;21&lt;/volume&gt;&lt;number&gt;5&lt;/number&gt;&lt;dates&gt;&lt;year&gt;2003&lt;/year&gt;&lt;/dates&gt;&lt;isbn&gt;0263-7863&lt;/isbn&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w:t>
      </w:r>
      <w:hyperlink w:anchor="_ENREF_7" w:tooltip="Frimpong, 2003 #28" w:history="1">
        <w:r>
          <w:rPr>
            <w:rFonts w:asciiTheme="majorBidi" w:eastAsia="HYSinMyeongJo-Medium" w:hAnsiTheme="majorBidi" w:cstheme="majorBidi"/>
            <w:sz w:val="22"/>
            <w:shd w:val="clear" w:color="auto" w:fill="FFFFFF"/>
          </w:rPr>
          <w:t>Frimpong et al., 2003</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Improving construction projects i.e. roads, buildings, power stations, bridges, and infrastructure, is a measure of the financial empowerment through which humanity achieves its objectives of rural and urban </w:t>
      </w:r>
      <w:r>
        <w:rPr>
          <w:rFonts w:asciiTheme="majorBidi" w:eastAsia="HYSinMyeongJo-Medium" w:hAnsiTheme="majorBidi" w:cstheme="majorBidi"/>
          <w:sz w:val="22"/>
          <w:shd w:val="clear" w:color="auto" w:fill="FFFFFF"/>
        </w:rPr>
        <w:lastRenderedPageBreak/>
        <w:t xml:space="preserve">development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&lt;EndNote&gt;&lt;Cite&gt;&lt;Author&gt;Ali&lt;/Author&gt;&lt;Year&gt;2020&lt;/Year&gt;&lt;RecNum&gt;34&lt;/RecNum&gt;&lt;DisplayText&gt;(Ali, Iqbal, &amp;amp; Iqbal, 2020)&lt;/DisplayText&gt;&lt;record&gt;&lt;rec-number&gt;34&lt;/rec-number&gt;&lt;foreign-keys&gt;&lt;key app="EN" db-id="vfxaxssab220zke05fbvp0atztvft95dwrpz" timestamp="1663764264"&gt;34&lt;/key&gt;&lt;/foreign-keys&gt;&lt;ref-type name="Journal Article"&gt;17&lt;/ref-type&gt;&lt;contributors&gt;&lt;authors&gt;&lt;author&gt;Ali, Mirza&lt;/author&gt;&lt;author&gt;Iqbal, Shahid&lt;/author&gt;&lt;author&gt;Iqbal, Qaiser&lt;/author&gt;&lt;/authors&gt;&lt;/contributors&gt;&lt;titles&gt;&lt;title&gt;Causes of Delay in the Establishment of Public Sector University in Newly Merged District’s of KP, Pakistan&lt;/title&gt;&lt;secondary-title&gt;International Journal of Engineering Works&lt;/secondary-title&gt;&lt;/titles&gt;&lt;periodical&gt;&lt;full-title&gt;International Journal of Engineering Works&lt;/full-title&gt;&lt;/periodical&gt;&lt;pages&gt;221-227&lt;/pages&gt;&lt;volume&gt;7&lt;/volume&gt;&lt;number&gt;05&lt;/number&gt;&lt;dates&gt;&lt;year&gt;2020&lt;/year&gt;&lt;/dates&gt;&lt;urls&gt;&lt;/urls&gt;&lt;/record&gt;&lt;/Cite&gt;&lt;/EndNote&gt;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w:t>
      </w:r>
      <w:hyperlink w:anchor="_ENREF_3" w:tooltip="Ali, 2020 #34" w:history="1">
        <w:r>
          <w:rPr>
            <w:rFonts w:asciiTheme="majorBidi" w:eastAsia="HYSinMyeongJo-Medium" w:hAnsiTheme="majorBidi" w:cstheme="majorBidi"/>
            <w:sz w:val="22"/>
            <w:shd w:val="clear" w:color="auto" w:fill="FFFFFF"/>
          </w:rPr>
          <w:t>Ali et al., 2020</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The duration of a public sector university construction project is typically foreseeable; however, delays may occur throughout the project's life cycle. A delay is defined as a situation in which the client and the contractor, either jointly or independently, have contributed to the project not being completed in accordance with the terms of the initial contract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&lt;EndNote&gt;&lt;Cite&gt;&lt;Author&gt;Assaf&lt;/Author&gt;&lt;Year&gt;2006&lt;/Year&gt;&lt;RecNum&gt;26&lt;/RecNum&gt;&lt;DisplayText&gt;(Assaf &amp;amp; Al-Hejji, 2006)&lt;/DisplayText&gt;&lt;record&gt;&lt;rec-number&gt;26&lt;/rec-number&gt;&lt;foreign-keys&gt;&lt;key app="EN" db-id="vfxaxssab220zke05fbvp0atztvft95dwrpz" timestamp="1663764172"&gt;26&lt;/key&gt;&lt;/foreign-keys&gt;&lt;ref-type name="Journal Article"&gt;17&lt;/ref-type&gt;&lt;contributors&gt;&lt;authors&gt;&lt;author&gt;Assaf, Sadi A&lt;/author&gt;&lt;author&gt;Al-Hejji, Sadiq&lt;/author&gt;&lt;/authors&gt;&lt;/contributors&gt;&lt;titles&gt;&lt;title&gt;Causes of delay in large construction projects&lt;/title&gt;&lt;secondary-title&gt;International journal of project management&lt;/secondary-title&gt;&lt;/titles&gt;&lt;periodical&gt;&lt;full-title&gt;International journal of project management&lt;/full-title&gt;&lt;/periodical&gt;&lt;pages&gt;349-357&lt;/pages&gt;&lt;volume&gt;24&lt;/volume&gt;&lt;number&gt;4&lt;/number&gt;&lt;dates&gt;&lt;year&gt;2006&lt;/year&gt;&lt;/dates&gt;&lt;isbn&gt;0263-7863&lt;/isbn&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w:t>
      </w:r>
      <w:hyperlink w:anchor="_ENREF_4" w:tooltip="Assaf, 2006 #26" w:history="1">
        <w:r>
          <w:rPr>
            <w:rFonts w:asciiTheme="majorBidi" w:eastAsia="HYSinMyeongJo-Medium" w:hAnsiTheme="majorBidi" w:cstheme="majorBidi"/>
            <w:sz w:val="22"/>
            <w:shd w:val="clear" w:color="auto" w:fill="FFFFFF"/>
          </w:rPr>
          <w:t>Assaf &amp; Al-Hejji, 2006</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Daley can be minimized when related causes are recognized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&lt;EndNote&gt;&lt;Cite&gt;&lt;Author&gt;Abdul Rahman&lt;/Author&gt;&lt;Year&gt;2013&lt;/Year&gt;&lt;RecNum&gt;43&lt;/RecNum&gt;&lt;DisplayText&gt;(Abdul Rahman, Memon, &amp;amp; Abdul Karim, 2013)&lt;/DisplayText&gt;&lt;record&gt;&lt;rec-number&gt;43&lt;/rec-number&gt;&lt;foreign-keys&gt;&lt;key app="EN" db-id="vfxaxssab220zke05fbvp0atztvft95dwrpz" timestamp="1665197153"&gt;43&lt;/key&gt;&lt;/foreign-keys&gt;&lt;ref-type name="Journal Article"&gt;17&lt;/ref-type&gt;&lt;contributors&gt;&lt;authors&gt;&lt;author&gt;Abdul Rahman, Ismail&lt;/author&gt;&lt;author&gt;Memon, Aftab Hameed&lt;/author&gt;&lt;author&gt;Abdul Karim, Ahmad Tarmizi&lt;/author&gt;&lt;/authors&gt;&lt;/contributors&gt;&lt;titles&gt;&lt;title&gt;Significant factors causing cost overruns in large construction projects in Malaysia&lt;/title&gt;&lt;secondary-title&gt;Journal of Applied Science&lt;/secondary-title&gt;&lt;/titles&gt;&lt;periodical&gt;&lt;full-title&gt;Journal of Applied Science&lt;/full-title&gt;&lt;/periodical&gt;&lt;pages&gt;286-293&lt;/pages&gt;&lt;volume&gt;13&lt;/volume&gt;&lt;number&gt;2&lt;/number&gt;&lt;dates&gt;&lt;year&gt;2013&lt;/year&gt;&lt;/dates&gt;&lt;isbn&gt;1812-5654&lt;/isbn&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w:t>
      </w:r>
      <w:hyperlink w:anchor="_ENREF_1" w:tooltip="Abdul Rahman, 2013 #43" w:history="1">
        <w:r>
          <w:rPr>
            <w:rFonts w:asciiTheme="majorBidi" w:eastAsia="HYSinMyeongJo-Medium" w:hAnsiTheme="majorBidi" w:cstheme="majorBidi"/>
            <w:sz w:val="22"/>
            <w:shd w:val="clear" w:color="auto" w:fill="FFFFFF"/>
          </w:rPr>
          <w:t>Abdul Rahman et al., 2013</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This research paper focus on the Khyber Pakhtunkhwa public sector university projects. Khyber Pakhtunkhwa (KP) is an independent, self-governing province under the managerial control of Pakistan. In recent years, public sector universities have played a central role in modifying and enhancing the province's public infrastructure and becoming more attractive to students. Developing countries, especially in Pakistan, criticize the construction delays. However, limited research has been done in the case of the public sector universities of KP, Pakistan, to provide a significant successful way for construction stakeholders for the new Public Sector Development Sector Projects (PSDP). PSDP construction projects in KP are managed by the Higher Education Department (HED) and the Higher Education Commission (HEC) of Pakistan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&lt;EndNote&gt;&lt;Cite&gt;&lt;Author&gt;Ali&lt;/Author&gt;&lt;Year&gt;2020&lt;/Year&gt;&lt;RecNum&gt;34&lt;/RecNum&gt;&lt;DisplayText&gt;(Ali et al., 2020)&lt;/DisplayText&gt;&lt;record&gt;&lt;rec-number&gt;34&lt;/rec-number&gt;&lt;foreign-keys&gt;&lt;key app="EN" db-id="vfxaxssab220zke05fbvp0atztvft95dwrpz" timestamp="1663764264"&gt;34&lt;/key&gt;&lt;/foreign-keys&gt;&lt;ref-type name="Journal Article"&gt;17&lt;/ref-type&gt;&lt;contributors&gt;&lt;authors&gt;&lt;author&gt;Ali, Mirza&lt;/author&gt;&lt;author&gt;Iqbal, Shahid&lt;/author&gt;&lt;author&gt;Iqbal, Qaiser&lt;/author&gt;&lt;/authors&gt;&lt;/contributors&gt;&lt;titles&gt;&lt;title&gt;Causes of Delay in the Establishment of Public Sector University in Newly Merged District’s of KP, Pakistan&lt;/title&gt;&lt;secondary-title&gt;International Journal of Engineering Works&lt;/secondary-title&gt;&lt;/titles&gt;&lt;periodical&gt;&lt;full-title&gt;International Journal of Engineering Works&lt;/full-title&gt;&lt;/periodical&gt;&lt;pages&gt;221-227&lt;/pages&gt;&lt;volume&gt;7&lt;/volume&gt;&lt;number&gt;05&lt;/number&gt;&lt;dates&gt;&lt;year&gt;2020&lt;/year&gt;&lt;/dates&gt;&lt;urls&gt;&lt;/urls&gt;&lt;/record&gt;&lt;/Cite&gt;&lt;/EndNote&gt;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w:t>
      </w:r>
      <w:hyperlink w:anchor="_ENREF_3" w:tooltip="Ali, 2020 #34" w:history="1">
        <w:r>
          <w:rPr>
            <w:rFonts w:asciiTheme="majorBidi" w:eastAsia="HYSinMyeongJo-Medium" w:hAnsiTheme="majorBidi" w:cstheme="majorBidi"/>
            <w:sz w:val="22"/>
            <w:shd w:val="clear" w:color="auto" w:fill="FFFFFF"/>
          </w:rPr>
          <w:t>Ali et al., 2020</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 xml:space="preserve">The Pakistan Public Sector Development Program (PSDP) assists public-sector universities in implementing infrastructure projects in various ways, aiming to improve their quality of life and sustainability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&lt;EndNote&gt;&lt;Cite&gt;&lt;Author&gt;Ali&lt;/Author&gt;&lt;Year&gt;2020&lt;/Year&gt;&lt;RecNum&gt;34&lt;/RecNum&gt;&lt;DisplayText&gt;(Ali et al., 2020)&lt;/DisplayText&gt;&lt;record&gt;&lt;rec-number&gt;34&lt;/rec-number&gt;&lt;foreign-keys&gt;&lt;key app="EN" db-id="vfxaxssab220zke05fbvp0atztvft95dwrpz" timestamp="1663764264"&gt;34&lt;/key&gt;&lt;/foreign-keys&gt;&lt;ref-type name="Journal Article"&gt;17&lt;/ref-type&gt;&lt;contributors&gt;&lt;authors&gt;&lt;author&gt;Ali, Mirza&lt;/author&gt;&lt;author&gt;Iqbal, Shahid&lt;/author&gt;&lt;author&gt;Iqbal, Qaiser&lt;/author&gt;&lt;/authors&gt;&lt;/contributors&gt;&lt;titles&gt;&lt;title&gt;Causes of Delay in the Establishment of Public Sector University in Newly Merged District’s of KP, Pakistan&lt;/title&gt;&lt;secondary-title&gt;International Journal of Engineering Works&lt;/secondary-title&gt;&lt;/titles&gt;&lt;periodical&gt;&lt;full-title&gt;International Journal of Engineering Works&lt;/full-title&gt;&lt;/periodical&gt;&lt;pages&gt;221-227&lt;/pages&gt;&lt;volume&gt;7&lt;/volume&gt;&lt;number&gt;05&lt;/number&gt;&lt;dates&gt;&lt;year&gt;2020&lt;/year&gt;&lt;/dates&gt;&lt;urls&gt;&lt;/urls&gt;&lt;/record&gt;&lt;/Cite&gt;&lt;/EndNote&gt;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w:t>
      </w:r>
      <w:hyperlink w:anchor="_ENREF_3" w:tooltip="Ali, 2020 #34" w:history="1">
        <w:r>
          <w:rPr>
            <w:rFonts w:asciiTheme="majorBidi" w:eastAsia="HYSinMyeongJo-Medium" w:hAnsiTheme="majorBidi" w:cstheme="majorBidi"/>
            <w:sz w:val="22"/>
            <w:shd w:val="clear" w:color="auto" w:fill="FFFFFF"/>
          </w:rPr>
          <w:t>Ali et al., 2020</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The government of Pakistan finances both ongoing and new public-sector university infrastructure projects to resolve public issues and enhance the standard of education for the people of Pakistan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&lt;EndNote&gt;&lt;Cite&gt;&lt;Author&gt;Kim&lt;/Author&gt;&lt;Year&gt;2016&lt;/Year&gt;&lt;RecNum&gt;44&lt;/RecNum&gt;&lt;DisplayText&gt;(Kim &amp;amp; Tuan, 2016)&lt;/DisplayText&gt;&lt;record&gt;&lt;rec-number&gt;44&lt;/rec-number&gt;&lt;foreign-keys&gt;&lt;key app="EN" db-id="vfxaxssab220zke05fbvp0atztvft95dwrpz" timestamp="1665197169"&gt;44&lt;/key&gt;&lt;/foreign-keys&gt;&lt;ref-type name="Journal Article"&gt;17&lt;/ref-type&gt;&lt;contributors&gt;&lt;authors&gt;&lt;author&gt;Kim, Soo-Yong&lt;/author&gt;&lt;author&gt;Tuan, Kiet Nguyen&lt;/author&gt;&lt;/authors&gt;&lt;/contributors&gt;&lt;titles&gt;&lt;title&gt;Delay factor analysis for hospital projects in Vietnam&lt;/title&gt;&lt;secondary-title&gt;KSCE Journal of Civil Engineering&lt;/secondary-title&gt;&lt;/titles&gt;&lt;periodical&gt;&lt;full-title&gt;KSCE Journal of Civil Engineering&lt;/full-title&gt;&lt;/periodical&gt;&lt;pages&gt;519-529&lt;/pages&gt;&lt;volume&gt;20&lt;/volume&gt;&lt;number&gt;2&lt;/number&gt;&lt;dates&gt;&lt;year&gt;2016&lt;/year&gt;&lt;/dates&gt;&lt;isbn&gt;1976-3808&lt;/isbn&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w:t>
      </w:r>
      <w:hyperlink w:anchor="_ENREF_14" w:tooltip="Kim, 2016 #44" w:history="1">
        <w:r>
          <w:rPr>
            <w:rFonts w:asciiTheme="majorBidi" w:hAnsiTheme="majorBidi" w:cstheme="majorBidi"/>
            <w:sz w:val="22"/>
          </w:rPr>
          <w:t>Khan et al</w:t>
        </w:r>
        <w:r>
          <w:rPr>
            <w:rFonts w:asciiTheme="majorBidi" w:eastAsia="HYSinMyeongJo-Medium" w:hAnsiTheme="majorBidi" w:cstheme="majorBidi"/>
            <w:sz w:val="22"/>
            <w:shd w:val="clear" w:color="auto" w:fill="FFFFFF"/>
          </w:rPr>
          <w:t xml:space="preserve">., </w:t>
        </w:r>
      </w:hyperlink>
      <w:r>
        <w:rPr>
          <w:rFonts w:asciiTheme="majorBidi" w:eastAsia="HYSinMyeongJo-Medium" w:hAnsiTheme="majorBidi" w:cstheme="majorBidi"/>
          <w:sz w:val="22"/>
          <w:shd w:val="clear" w:color="auto" w:fill="FFFFFF"/>
        </w:rPr>
        <w:t>2019)</w:t>
      </w:r>
      <w:r>
        <w:rPr>
          <w:rFonts w:asciiTheme="majorBidi" w:eastAsia="HYSinMyeongJo-Medium" w:hAnsiTheme="majorBidi" w:cstheme="majorBidi"/>
          <w:sz w:val="22"/>
          <w:shd w:val="clear" w:color="auto" w:fill="FFFFFF"/>
        </w:rPr>
        <w:fldChar w:fldCharType="end"/>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4950"/>
          <w:tab w:val="left" w:pos="5580"/>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Public sector universities play a pivotal role in the provision of higher education and the progress of different sectors of society. In </w:t>
      </w:r>
      <w:bookmarkStart w:id="0" w:name="_Hlk67933965"/>
      <w:r>
        <w:rPr>
          <w:rFonts w:asciiTheme="majorBidi" w:eastAsia="HYSinMyeongJo-Medium" w:hAnsiTheme="majorBidi" w:cstheme="majorBidi"/>
          <w:sz w:val="22"/>
          <w:shd w:val="clear" w:color="auto" w:fill="FFFFFF"/>
        </w:rPr>
        <w:t>poor</w:t>
      </w:r>
      <w:bookmarkEnd w:id="0"/>
      <w:r>
        <w:rPr>
          <w:rFonts w:asciiTheme="majorBidi" w:eastAsia="HYSinMyeongJo-Medium" w:hAnsiTheme="majorBidi" w:cstheme="majorBidi"/>
          <w:sz w:val="22"/>
          <w:shd w:val="clear" w:color="auto" w:fill="FFFFFF"/>
        </w:rPr>
        <w:t xml:space="preserve"> areas of developing countries, public university infrastructures are placed for sustainable advancement and dynamic and internationally competitive higher education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&lt;EndNote&gt;&lt;Cite&gt;&lt;Author&gt;Kim&lt;/Author&gt;&lt;Year&gt;2016&lt;/Year&gt;&lt;RecNum&gt;44&lt;/RecNum&gt;&lt;DisplayText&gt;(Kim &amp;amp; Tuan, 2016)&lt;/DisplayText&gt;&lt;record&gt;&lt;rec-number&gt;44&lt;/rec-number&gt;&lt;foreign-keys&gt;&lt;key app="EN" db-id="vfxaxssab220zke05fbvp0atztvft95dwrpz" timestamp="1665197169"&gt;44&lt;/key&gt;&lt;/foreign-keys&gt;&lt;ref-type name="Journal Article"&gt;17&lt;/ref-type&gt;&lt;contributors&gt;&lt;authors&gt;&lt;author&gt;Kim, Soo-Yong&lt;/author&gt;&lt;author&gt;Tuan, Kiet Nguyen&lt;/author&gt;&lt;/authors&gt;&lt;/contributors&gt;&lt;titles&gt;&lt;title&gt;Delay factor analysis for hospital projects in Vietnam&lt;/title&gt;&lt;secondary-title&gt;KSCE Journal of Civil Engineering&lt;/secondary-title&gt;&lt;/titles&gt;&lt;periodical&gt;&lt;full-title&gt;KSCE Journal of Civil Engineering&lt;/full-title&gt;&lt;/periodical&gt;&lt;pages&gt;519-529&lt;/pages&gt;&lt;volume&gt;20&lt;/volume&gt;&lt;number&gt;2&lt;/number&gt;&lt;dates&gt;&lt;year&gt;2016&lt;/year&gt;&lt;/dates&gt;&lt;isbn&gt;1976-3808&lt;/isbn&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(Ahmad &amp; Mohamand 2014)</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In the year 2002, the government of Pakistan established the Higher Education Commission (HEC) of Pakistan to promote and enable higher studies in Pakistan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&lt;EndNote&gt;&lt;Cite&gt;&lt;Author&gt;Lo&lt;/Author&gt;&lt;Year&gt;2006&lt;/Year&gt;&lt;RecNum&gt;27&lt;/RecNum&gt;&lt;DisplayText&gt;(Lo, Fung, &amp;amp; Tung, 2006)&lt;/DisplayText&gt;&lt;record&gt;&lt;rec-number&gt;27&lt;/rec-number&gt;&lt;foreign-keys&gt;&lt;key app="EN" db-id="vfxaxssab220zke05fbvp0atztvft95dwrpz" timestamp="1663764181"&gt;27&lt;/key&gt;&lt;/foreign-keys&gt;&lt;ref-type name="Journal Article"&gt;17&lt;/ref-type&gt;&lt;contributors&gt;&lt;authors&gt;&lt;author&gt;Lo, Tommy Y&lt;/author&gt;&lt;author&gt;Fung, Ivan W&lt;/author&gt;&lt;author&gt;Tung, Karen C&lt;/author&gt;&lt;/authors&gt;&lt;/contributors&gt;&lt;titles&gt;&lt;title&gt;Construction delays in Hong Kong civil engineering projects&lt;/title&gt;&lt;secondary-title&gt;Journal of construction engineering and management&lt;/secondary-title&gt;&lt;/titles&gt;&lt;periodical&gt;&lt;full-title&gt;Journal of construction engineering and management&lt;/full-title&gt;&lt;/periodical&gt;&lt;pages&gt;636-649&lt;/pages&gt;&lt;volume&gt;132&lt;/volume&gt;&lt;number&gt;6&lt;/number&gt;&lt;dates&gt;&lt;year&gt;2006&lt;/year&gt;&lt;/dates&gt;&lt;isbn&gt;0733-9364&lt;/isbn&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(Akram et al., 2015)</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Pakistan has had many changes recently with the growing economy and other fields. Furthermore, the faster the population increase, the faster the demand for higher education increases. The government made the policy to increase the number of higher education institutions to accommodate the higher demand of students for enrollment. Pakistan had 130 public sector universities up to 2021</w:t>
      </w:r>
      <w:sdt>
        <w:sdtPr>
          <w:rPr>
            <w:rFonts w:asciiTheme="majorBidi" w:hAnsiTheme="majorBidi" w:cstheme="majorBidi"/>
            <w:iCs/>
            <w:sz w:val="22"/>
          </w:rPr>
          <w:id w:val="942499624"/>
        </w:sdtPr>
        <w:sdtContent>
          <w:r>
            <w:rPr>
              <w:rFonts w:asciiTheme="majorBidi" w:hAnsiTheme="majorBidi" w:cstheme="majorBidi"/>
              <w:iCs/>
              <w:sz w:val="22"/>
            </w:rPr>
            <w:fldChar w:fldCharType="begin"/>
          </w:r>
          <w:r>
            <w:rPr>
              <w:rFonts w:asciiTheme="majorBidi" w:hAnsiTheme="majorBidi" w:cstheme="majorBidi"/>
              <w:iCs/>
              <w:sz w:val="22"/>
            </w:rPr>
            <w:instrText xml:space="preserve">CITATION htt23 \l 1033 </w:instrText>
          </w:r>
          <w:r>
            <w:rPr>
              <w:rFonts w:asciiTheme="majorBidi" w:hAnsiTheme="majorBidi" w:cstheme="majorBidi"/>
              <w:iCs/>
              <w:sz w:val="22"/>
            </w:rPr>
            <w:fldChar w:fldCharType="separate"/>
          </w:r>
          <w:r>
            <w:rPr>
              <w:rFonts w:asciiTheme="majorBidi" w:hAnsiTheme="majorBidi" w:cstheme="majorBidi"/>
              <w:iCs/>
              <w:sz w:val="22"/>
            </w:rPr>
            <w:t xml:space="preserve"> </w:t>
          </w:r>
          <w:hyperlink r:id="rId8" w:history="1">
            <w:r>
              <w:rPr>
                <w:rStyle w:val="Hyperlink"/>
                <w:rFonts w:asciiTheme="majorBidi" w:hAnsiTheme="majorBidi"/>
                <w:color w:val="auto"/>
              </w:rPr>
              <w:t>https://en.wikipedia.org/wiki/List_of_universities_in_Pakistan</w:t>
            </w:r>
          </w:hyperlink>
          <w:r>
            <w:rPr>
              <w:rFonts w:asciiTheme="majorBidi" w:hAnsiTheme="majorBidi" w:cstheme="majorBidi"/>
              <w:iCs/>
              <w:sz w:val="22"/>
            </w:rPr>
            <w:fldChar w:fldCharType="end"/>
          </w:r>
        </w:sdtContent>
      </w:sdt>
      <w:r>
        <w:rPr>
          <w:rFonts w:asciiTheme="majorBidi" w:hAnsiTheme="majorBidi" w:cstheme="majorBidi"/>
          <w:iCs/>
          <w:sz w:val="22"/>
        </w:rPr>
        <w:t>.</w:t>
      </w:r>
      <w:r>
        <w:rPr>
          <w:rFonts w:asciiTheme="majorBidi" w:eastAsia="HYSinMyeongJo-Medium" w:hAnsiTheme="majorBidi" w:cstheme="majorBidi"/>
          <w:sz w:val="22"/>
          <w:shd w:val="clear" w:color="auto" w:fill="FFFFFF"/>
        </w:rPr>
        <w:t xml:space="preserve"> The number of universities is less than the government’s target for various reasons. However, two main reasons are: (1) the allocation of funds for public </w:t>
      </w:r>
      <w:r>
        <w:rPr>
          <w:rFonts w:asciiTheme="majorBidi" w:eastAsia="HYSinMyeongJo-Medium" w:hAnsiTheme="majorBidi" w:cstheme="majorBidi"/>
          <w:sz w:val="22"/>
          <w:shd w:val="clear" w:color="auto" w:fill="FFFFFF"/>
        </w:rPr>
        <w:lastRenderedPageBreak/>
        <w:t xml:space="preserve">sector universities project does not meet the population growth and requirement of the residents, and (2) the delay in completing the public sector universities project.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According to the Higher Education Department, there are 33 public sector universities in Khyber Pakhtunkhwa province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&lt;EndNote&gt;&lt;Cite&gt;&lt;Author&gt;Hyder&lt;/Author&gt;&lt;Year&gt;2010&lt;/Year&gt;&lt;RecNum&gt;47&lt;/RecNum&gt;&lt;DisplayText&gt;(Hyder &amp;amp; Sadiq, 2010)&lt;/DisplayText&gt;&lt;record&gt;&lt;rec-number&gt;47&lt;/rec-number&gt;&lt;foreign-keys&gt;&lt;key app="EN" db-id="vfxaxssab220zke05fbvp0atztvft95dwrpz" timestamp="1665197305"&gt;47&lt;/key&gt;&lt;/foreign-keys&gt;&lt;ref-type name="Journal Article"&gt;17&lt;/ref-type&gt;&lt;contributors&gt;&lt;authors&gt;&lt;author&gt;Hyder, Asma&lt;/author&gt;&lt;author&gt;Sadiq, Maqsood&lt;/author&gt;&lt;/authors&gt;&lt;/contributors&gt;&lt;titles&gt;&lt;title&gt;Determinants of Poverty in Pakistan&lt;/title&gt;&lt;secondary-title&gt;Hamburg Review of Social Sciences&lt;/secondary-title&gt;&lt;/titles&gt;&lt;periodical&gt;&lt;full-title&gt;Hamburg Review of Social Sciences&lt;/full-title&gt;&lt;/periodical&gt;&lt;volume&gt;4&lt;/volume&gt;&lt;number&gt;3&lt;/number&gt;&lt;dates&gt;&lt;year&gt;2010&lt;/year&gt;&lt;/dates&gt;&lt;isbn&gt;1862-3921&lt;/isbn&gt;&lt;urls&gt;&lt;/urls&gt;&lt;/record&gt;&lt;/Cite&gt;&lt;/EndNote&gt;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(Ali et al., 2020)</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Maximum public universities have been completed for a long, although some are under the construction phase, for instance, FATA University, Swabi University, Khushal Khan Khattak University, the University of Lakki Marwat, University of Shangla, University of Buner.</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sectPr w:rsidR="00CF1981" w:rsidSect="00CF1981">
          <w:headerReference w:type="even" r:id="rId9"/>
          <w:headerReference w:type="default" r:id="rId10"/>
          <w:footerReference w:type="default" r:id="rId11"/>
          <w:headerReference w:type="first" r:id="rId12"/>
          <w:footnotePr>
            <w:numFmt w:val="chicago"/>
          </w:footnotePr>
          <w:pgSz w:w="11907" w:h="16839"/>
          <w:pgMar w:top="2880" w:right="2880" w:bottom="2160" w:left="2880" w:header="2448" w:footer="1872" w:gutter="0"/>
          <w:pgNumType w:start="110"/>
          <w:cols w:space="567"/>
          <w:titlePg/>
          <w:docGrid w:linePitch="360"/>
        </w:sect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lastRenderedPageBreak/>
        <w:tab/>
        <w:t xml:space="preserve">Therefore, this study aims to determine construction stakeholders related to projects and evaluate the factors that promote their implementation. A quantitative approach was adopted to achieve the aim of the study by selecting the public sector universities of KP, Pakistan. The study provides insight into the problems of bottlenecks and impediments in completing construction public sector projects.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sectPr w:rsidR="00CF1981">
          <w:type w:val="continuous"/>
          <w:pgSz w:w="11907" w:h="16839"/>
          <w:pgMar w:top="2880" w:right="2880" w:bottom="2160" w:left="2880" w:header="720" w:footer="720" w:gutter="0"/>
          <w:cols w:space="567"/>
          <w:docGrid w:linePitch="360"/>
        </w:sect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lastRenderedPageBreak/>
        <w:t>The main goals of this study are:</w:t>
      </w:r>
    </w:p>
    <w:p w:rsidR="00CF1981" w:rsidRDefault="00CF1981" w:rsidP="00CF1981">
      <w:pPr>
        <w:pStyle w:val="ListParagraph"/>
        <w:numPr>
          <w:ilvl w:val="0"/>
          <w:numId w:val="2"/>
        </w:num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ind w:left="270"/>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To identify the critical delaying factors in public sector university PSDP projects in KP, Pakistan.</w:t>
      </w:r>
    </w:p>
    <w:p w:rsidR="00CF1981" w:rsidRDefault="00CF1981" w:rsidP="00CF1981">
      <w:pPr>
        <w:pStyle w:val="ListParagraph"/>
        <w:numPr>
          <w:ilvl w:val="0"/>
          <w:numId w:val="2"/>
        </w:num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ind w:left="270"/>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Figure out how significant each stakeholder's delay is and divide them into groups based on their importance.</w:t>
      </w:r>
    </w:p>
    <w:p w:rsidR="00CF1981" w:rsidRDefault="00CF1981" w:rsidP="00CF1981">
      <w:pPr>
        <w:pStyle w:val="ListParagraph"/>
        <w:numPr>
          <w:ilvl w:val="0"/>
          <w:numId w:val="2"/>
        </w:num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ind w:left="270"/>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To identify the relationship of the selected factors by using a correlation matrix.</w:t>
      </w:r>
    </w:p>
    <w:p w:rsidR="00CF1981" w:rsidRDefault="00CF1981" w:rsidP="00CF1981">
      <w:pPr>
        <w:pStyle w:val="ListParagraph"/>
        <w:numPr>
          <w:ilvl w:val="0"/>
          <w:numId w:val="2"/>
        </w:num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ind w:left="270"/>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To suggest remedial actions for the causing factors of public sector university construction projects in Khyber Pakhtunkhwa.</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jc w:val="center"/>
        <w:textAlignment w:val="baseline"/>
        <w:rPr>
          <w:rFonts w:asciiTheme="majorBidi" w:eastAsia="HYSinMyeongJo-Medium" w:hAnsiTheme="majorBidi" w:cstheme="majorBidi"/>
          <w:sz w:val="22"/>
          <w:shd w:val="clear" w:color="auto" w:fill="FFFFFF"/>
        </w:rPr>
      </w:pPr>
      <w:r>
        <w:rPr>
          <w:rFonts w:asciiTheme="majorBidi" w:hAnsiTheme="majorBidi" w:cstheme="majorBidi"/>
          <w:noProof/>
          <w:sz w:val="22"/>
          <w:lang w:eastAsia="en-US"/>
        </w:rPr>
        <w:drawing>
          <wp:inline distT="0" distB="0" distL="0" distR="0" wp14:anchorId="38191B6F" wp14:editId="363E4D43">
            <wp:extent cx="2684780" cy="2476500"/>
            <wp:effectExtent l="19050" t="19050" r="2032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716188" cy="2505471"/>
                    </a:xfrm>
                    <a:prstGeom prst="rect">
                      <a:avLst/>
                    </a:prstGeom>
                    <a:noFill/>
                    <a:ln w="9525" cmpd="sng">
                      <a:solidFill>
                        <a:schemeClr val="tx1"/>
                      </a:solidFill>
                      <a:miter lim="800000"/>
                      <a:headEnd/>
                      <a:tailEnd/>
                    </a:ln>
                    <a:effectLst/>
                  </pic:spPr>
                </pic:pic>
              </a:graphicData>
            </a:graphic>
          </wp:inline>
        </w:drawing>
      </w:r>
    </w:p>
    <w:p w:rsidR="00CF1981" w:rsidRDefault="00CF1981" w:rsidP="00CF1981">
      <w:pPr>
        <w:widowControl/>
        <w:wordWrap/>
        <w:autoSpaceDE/>
        <w:autoSpaceDN/>
        <w:spacing w:after="0" w:line="240" w:lineRule="auto"/>
        <w:jc w:val="center"/>
        <w:rPr>
          <w:rFonts w:asciiTheme="majorBidi" w:hAnsiTheme="majorBidi" w:cstheme="majorBidi"/>
          <w:b/>
          <w:bCs/>
          <w:sz w:val="18"/>
          <w:szCs w:val="18"/>
        </w:rPr>
      </w:pPr>
      <w:bookmarkStart w:id="1" w:name="_Toc513056889"/>
      <w:r>
        <w:rPr>
          <w:rFonts w:asciiTheme="majorBidi" w:hAnsiTheme="majorBidi" w:cstheme="majorBidi"/>
          <w:b/>
          <w:bCs/>
          <w:sz w:val="18"/>
          <w:szCs w:val="18"/>
        </w:rPr>
        <w:t xml:space="preserve">Figure </w:t>
      </w:r>
      <w:r>
        <w:rPr>
          <w:rFonts w:asciiTheme="majorBidi" w:hAnsiTheme="majorBidi" w:cstheme="majorBidi"/>
          <w:b/>
          <w:bCs/>
          <w:sz w:val="18"/>
          <w:szCs w:val="18"/>
        </w:rPr>
        <w:fldChar w:fldCharType="begin"/>
      </w:r>
      <w:r>
        <w:rPr>
          <w:rFonts w:asciiTheme="majorBidi" w:hAnsiTheme="majorBidi" w:cstheme="majorBidi"/>
          <w:b/>
          <w:bCs/>
          <w:sz w:val="18"/>
          <w:szCs w:val="18"/>
        </w:rPr>
        <w:instrText xml:space="preserve"> SEQ Fig._ \* ARABIC </w:instrText>
      </w:r>
      <w:r>
        <w:rPr>
          <w:rFonts w:asciiTheme="majorBidi" w:hAnsiTheme="majorBidi" w:cstheme="majorBidi"/>
          <w:b/>
          <w:bCs/>
          <w:sz w:val="18"/>
          <w:szCs w:val="18"/>
        </w:rPr>
        <w:fldChar w:fldCharType="separate"/>
      </w:r>
      <w:r>
        <w:rPr>
          <w:rFonts w:asciiTheme="majorBidi" w:hAnsiTheme="majorBidi" w:cstheme="majorBidi"/>
          <w:b/>
          <w:bCs/>
          <w:noProof/>
          <w:sz w:val="18"/>
          <w:szCs w:val="18"/>
        </w:rPr>
        <w:t>1</w:t>
      </w:r>
      <w:r>
        <w:rPr>
          <w:rFonts w:asciiTheme="majorBidi" w:hAnsiTheme="majorBidi" w:cstheme="majorBidi"/>
          <w:b/>
          <w:bCs/>
          <w:sz w:val="18"/>
          <w:szCs w:val="18"/>
        </w:rPr>
        <w:fldChar w:fldCharType="end"/>
      </w:r>
      <w:r>
        <w:rPr>
          <w:rFonts w:asciiTheme="majorBidi" w:hAnsiTheme="majorBidi" w:cstheme="majorBidi"/>
          <w:b/>
          <w:bCs/>
          <w:sz w:val="18"/>
          <w:szCs w:val="18"/>
        </w:rPr>
        <w:t xml:space="preserve">. </w:t>
      </w:r>
      <w:bookmarkEnd w:id="1"/>
      <w:r>
        <w:rPr>
          <w:rFonts w:asciiTheme="majorBidi" w:hAnsiTheme="majorBidi" w:cstheme="majorBidi"/>
          <w:b/>
          <w:bCs/>
          <w:sz w:val="18"/>
          <w:szCs w:val="18"/>
        </w:rPr>
        <w:t>Public Sector Universities in Pakistan</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
          <w:kern w:val="0"/>
          <w:sz w:val="22"/>
          <w:shd w:val="clear" w:color="auto" w:fill="FFFFFF"/>
        </w:rPr>
      </w:pPr>
      <w:r>
        <w:rPr>
          <w:rFonts w:asciiTheme="majorBidi" w:eastAsia="HYSinMyeongJo-Medium" w:hAnsiTheme="majorBidi" w:cstheme="majorBidi"/>
          <w:b/>
          <w:kern w:val="0"/>
          <w:sz w:val="22"/>
          <w:shd w:val="clear" w:color="auto" w:fill="FFFFFF"/>
        </w:rPr>
        <w:t>Literature Review</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Delay in Construction</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The construction delay is when the client and contractor </w:t>
      </w:r>
      <w:r>
        <w:rPr>
          <w:rFonts w:asciiTheme="majorBidi" w:eastAsia="HYSinMyeongJo-Medium" w:hAnsiTheme="majorBidi" w:cstheme="majorBidi"/>
          <w:sz w:val="22"/>
          <w:shd w:val="clear" w:color="auto" w:fill="FFFFFF"/>
        </w:rPr>
        <w:lastRenderedPageBreak/>
        <w:t xml:space="preserve">bilaterally or individually do not execute the project as per the original agreement period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&lt;EndNote&gt;&lt;Cite&gt;&lt;Author&gt;Assaf&lt;/Author&gt;&lt;Year&gt;2006&lt;/Year&gt;&lt;RecNum&gt;26&lt;/RecNum&gt;&lt;DisplayText&gt;(Assaf &amp;amp; Al-Hejji, 2006)&lt;/DisplayText&gt;&lt;record&gt;&lt;rec-number&gt;26&lt;/rec-number&gt;&lt;foreign-keys&gt;&lt;key app="EN" db-id="vfxaxssab220zke05fbvp0atztvft95dwrpz" timestamp="1663764172"&gt;26&lt;/key&gt;&lt;/foreign-keys&gt;&lt;ref-type name="Journal Article"&gt;17&lt;/ref-type&gt;&lt;contributors&gt;&lt;authors&gt;&lt;author&gt;Assaf, Sadi A&lt;/author&gt;&lt;author&gt;Al-Hejji, Sadiq&lt;/author&gt;&lt;/authors&gt;&lt;/contributors&gt;&lt;titles&gt;&lt;title&gt;Causes of delay in large construction projects&lt;/title&gt;&lt;secondary-title&gt;International journal of project management&lt;/secondary-title&gt;&lt;/titles&gt;&lt;periodical&gt;&lt;full-title&gt;International journal of project management&lt;/full-title&gt;&lt;/periodical&gt;&lt;pages&gt;349-357&lt;/pages&gt;&lt;volume&gt;24&lt;/volume&gt;&lt;number&gt;4&lt;/number&gt;&lt;dates&gt;&lt;year&gt;2006&lt;/year&gt;&lt;/dates&gt;&lt;isbn&gt;0263-7863&lt;/isbn&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w:t>
      </w:r>
      <w:hyperlink w:anchor="_ENREF_4" w:tooltip="Assaf, 2006 #26" w:history="1">
        <w:r>
          <w:rPr>
            <w:rFonts w:asciiTheme="majorBidi" w:eastAsia="HYSinMyeongJo-Medium" w:hAnsiTheme="majorBidi" w:cstheme="majorBidi"/>
            <w:sz w:val="22"/>
            <w:shd w:val="clear" w:color="auto" w:fill="FFFFFF"/>
          </w:rPr>
          <w:t>Assaf &amp; Al-Hejji, 2006</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&lt;EndNote&gt;&lt;Cite&gt;&lt;Author&gt;Iyer&lt;/Author&gt;&lt;Year&gt;2005&lt;/Year&gt;&lt;RecNum&gt;45&lt;/RecNum&gt;&lt;DisplayText&gt;(Iyer &amp;amp; Jha, 2005)&lt;/DisplayText&gt;&lt;record&gt;&lt;rec-number&gt;45&lt;/rec-number&gt;&lt;foreign-keys&gt;&lt;key app="EN" db-id="vfxaxssab220zke05fbvp0atztvft95dwrpz" timestamp="1665197274"&gt;45&lt;/key&gt;&lt;/foreign-keys&gt;&lt;ref-type name="Journal Article"&gt;17&lt;/ref-type&gt;&lt;contributors&gt;&lt;authors&gt;&lt;author&gt;Iyer, KC&lt;/author&gt;&lt;author&gt;Jha, KN&lt;/author&gt;&lt;/authors&gt;&lt;/contributors&gt;&lt;titles&gt;&lt;title&gt;Factors affecting cost performance: evidence from Indian construction projects&lt;/title&gt;&lt;secondary-title&gt;International journal of project management&lt;/secondary-title&gt;&lt;/titles&gt;&lt;periodical&gt;&lt;full-title&gt;International journal of project management&lt;/full-title&gt;&lt;/periodical&gt;&lt;pages&gt;283-295&lt;/pages&gt;&lt;volume&gt;23&lt;/volume&gt;&lt;number&gt;4&lt;/number&gt;&lt;dates&gt;&lt;year&gt;2005&lt;/year&gt;&lt;/dates&gt;&lt;isbn&gt;0263-7863&lt;/isbn&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w:t>
      </w:r>
      <w:hyperlink w:anchor="_ENREF_13" w:tooltip="Iyer, 2005 #45" w:history="1">
        <w:r>
          <w:rPr>
            <w:rFonts w:asciiTheme="majorBidi" w:eastAsia="HYSinMyeongJo-Medium" w:hAnsiTheme="majorBidi" w:cstheme="majorBidi"/>
            <w:sz w:val="22"/>
            <w:shd w:val="clear" w:color="auto" w:fill="FFFFFF"/>
          </w:rPr>
          <w:t>Iyer &amp; Jha, 2005</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&lt;EndNote&gt;&lt;Cite&gt;&lt;Author&gt;Frimpong&lt;/Author&gt;&lt;Year&gt;2003&lt;/Year&gt;&lt;RecNum&gt;28&lt;/RecNum&gt;&lt;DisplayText&gt;(Frimpong et al., 2003)&lt;/DisplayText&gt;&lt;record&gt;&lt;rec-number&gt;28&lt;/rec-number&gt;&lt;foreign-keys&gt;&lt;key app="EN" db-id="vfxaxssab220zke05fbvp0atztvft95dwrpz" timestamp="1663764210"&gt;28&lt;/key&gt;&lt;/foreign-keys&gt;&lt;ref-type name="Journal Article"&gt;17&lt;/ref-type&gt;&lt;contributors&gt;&lt;authors&gt;&lt;author&gt;Frimpong, Yaw&lt;/author&gt;&lt;author&gt;Oluwoye, Jacob&lt;/author&gt;&lt;author&gt;Crawford, Lynn&lt;/author&gt;&lt;/authors&gt;&lt;/contributors&gt;&lt;titles&gt;&lt;title&gt;Causes of delay and cost overruns in construction of groundwater projects in a developing countries; Ghana as a case study&lt;/title&gt;&lt;secondary-title&gt;International Journal of project management&lt;/secondary-title&gt;&lt;/titles&gt;&lt;periodical&gt;&lt;full-title&gt;International journal of project management&lt;/full-title&gt;&lt;/periodical&gt;&lt;pages&gt;321-326&lt;/pages&gt;&lt;volume&gt;21&lt;/volume&gt;&lt;number&gt;5&lt;/number&gt;&lt;dates&gt;&lt;year&gt;2003&lt;/year&gt;&lt;/dates&gt;&lt;isbn&gt;0263-7863&lt;/isbn&gt;&lt;urls&gt;&lt;/urls&gt;&lt;/record&gt;&lt;/Cite&gt;&lt;/EndNote&gt;</w:instrText>
      </w:r>
      <w:r>
        <w:rPr>
          <w:rFonts w:asciiTheme="majorBidi" w:eastAsia="HYSinMyeongJo-Medium" w:hAnsiTheme="majorBidi" w:cstheme="majorBidi"/>
          <w:sz w:val="22"/>
          <w:shd w:val="clear" w:color="auto" w:fill="FFFFFF"/>
        </w:rPr>
        <w:fldChar w:fldCharType="separate"/>
      </w:r>
      <w:hyperlink w:anchor="_ENREF_7" w:tooltip="Frimpong, 2003 #28" w:history="1">
        <w:r>
          <w:rPr>
            <w:rFonts w:asciiTheme="majorBidi" w:eastAsia="HYSinMyeongJo-Medium" w:hAnsiTheme="majorBidi" w:cstheme="majorBidi"/>
            <w:sz w:val="22"/>
            <w:shd w:val="clear" w:color="auto" w:fill="FFFFFF"/>
          </w:rPr>
          <w:t>Frimpong et al., (2003</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stated in his study that the delays were caused due to monthly payment problems, unskilled staff of the contractors, material shortages, unfamiliar with the advanced techniques, and the unavailability of price adjustments in the contract.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&lt;EndNote&gt;&lt;Cite&gt;&lt;Author&gt;Abdul Rahman&lt;/Author&gt;&lt;Year&gt;2013&lt;/Year&gt;&lt;RecNum&gt;43&lt;/RecNum&gt;&lt;DisplayText&gt;(Abdul Rahman et al., 2013)&lt;/DisplayText&gt;&lt;record&gt;&lt;rec-number&gt;43&lt;/rec-number&gt;&lt;foreign-keys&gt;&lt;key app="EN" db-id="vfxaxssab220zke05fbvp0atztvft95dwrpz" timestamp="1665197153"&gt;43&lt;/key&gt;&lt;/foreign-keys&gt;&lt;ref-type name="Journal Article"&gt;17&lt;/ref-type&gt;&lt;contributors&gt;&lt;authors&gt;&lt;author&gt;Abdul Rahman, Ismail&lt;/author&gt;&lt;author&gt;Memon, Aftab Hameed&lt;/author&gt;&lt;author&gt;Abdul Karim, Ahmad Tarmizi&lt;/author&gt;&lt;/authors&gt;&lt;/contributors&gt;&lt;titles&gt;&lt;title&gt;Significant factors causing cost overruns in large construction projects in Malaysia&lt;/title&gt;&lt;secondary-title&gt;Journal of Applied Science&lt;/secondary-title&gt;&lt;/titles&gt;&lt;periodical&gt;&lt;full-title&gt;Journal of Applied Science&lt;/full-title&gt;&lt;/periodical&gt;&lt;pages&gt;286-293&lt;/pages&gt;&lt;volume&gt;13&lt;/volume&gt;&lt;number&gt;2&lt;/number&gt;&lt;dates&gt;&lt;year&gt;2013&lt;/year&gt;&lt;/dates&gt;&lt;isbn&gt;1812-5654&lt;/isbn&gt;&lt;urls&gt;&lt;/urls&gt;&lt;/record&gt;&lt;/Cite&gt;&lt;/EndNote&gt;</w:instrText>
      </w:r>
      <w:r>
        <w:rPr>
          <w:rFonts w:asciiTheme="majorBidi" w:eastAsia="HYSinMyeongJo-Medium" w:hAnsiTheme="majorBidi" w:cstheme="majorBidi"/>
          <w:sz w:val="22"/>
          <w:shd w:val="clear" w:color="auto" w:fill="FFFFFF"/>
        </w:rPr>
        <w:fldChar w:fldCharType="separate"/>
      </w:r>
      <w:hyperlink w:anchor="_ENREF_1" w:tooltip="Abdul Rahman, 2013 #43" w:history="1">
        <w:r>
          <w:rPr>
            <w:rFonts w:asciiTheme="majorBidi" w:eastAsia="HYSinMyeongJo-Medium" w:hAnsiTheme="majorBidi" w:cstheme="majorBidi"/>
            <w:sz w:val="22"/>
            <w:shd w:val="clear" w:color="auto" w:fill="FFFFFF"/>
          </w:rPr>
          <w:t>Abdul Rahman et al., (2013</w:t>
        </w:r>
      </w:hyperlink>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three dynamic-causing factors in Malaysia. Mostly payment problems, price adjustments on materials, dishonest project audits, and lack of new management techniques.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&lt;EndNote&gt;&lt;Cite&gt;&lt;Author&gt;Kim&lt;/Author&gt;&lt;Year&gt;2016&lt;/Year&gt;&lt;RecNum&gt;44&lt;/RecNum&gt;&lt;DisplayText&gt;(Kim &amp;amp; Tuan, 2016)&lt;/DisplayText&gt;&lt;record&gt;&lt;rec-number&gt;44&lt;/rec-number&gt;&lt;foreign-keys&gt;&lt;key app="EN" db-id="vfxaxssab220zke05fbvp0atztvft95dwrpz" timestamp="1665197169"&gt;44&lt;/key&gt;&lt;/foreign-keys&gt;&lt;ref-type name="Journal Article"&gt;17&lt;/ref-type&gt;&lt;contributors&gt;&lt;authors&gt;&lt;author&gt;Kim, Soo-Yong&lt;/author&gt;&lt;author&gt;Tuan, Kiet Nguyen&lt;/author&gt;&lt;/authors&gt;&lt;/contributors&gt;&lt;titles&gt;&lt;title&gt;Delay factor analysis for hospital projects in Vietnam&lt;/title&gt;&lt;secondary-title&gt;KSCE Journal of Civil Engineering&lt;/secondary-title&gt;&lt;/titles&gt;&lt;periodical&gt;&lt;full-title&gt;KSCE Journal of Civil Engineering&lt;/full-title&gt;&lt;/periodical&gt;&lt;pages&gt;519-529&lt;/pages&gt;&lt;volume&gt;20&lt;/volume&gt;&lt;number&gt;2&lt;/number&gt;&lt;dates&gt;&lt;year&gt;2016&lt;/year&gt;&lt;/dates&gt;&lt;isbn&gt;1976-3808&lt;/isbn&gt;&lt;urls&gt;&lt;/urls&gt;&lt;/record&gt;&lt;/Cite&gt;&lt;/EndNote&gt;</w:instrText>
      </w:r>
      <w:r>
        <w:rPr>
          <w:rFonts w:asciiTheme="majorBidi" w:eastAsia="HYSinMyeongJo-Medium" w:hAnsiTheme="majorBidi" w:cstheme="majorBidi"/>
          <w:sz w:val="22"/>
          <w:shd w:val="clear" w:color="auto" w:fill="FFFFFF"/>
        </w:rPr>
        <w:fldChar w:fldCharType="separate"/>
      </w:r>
      <w:hyperlink w:anchor="_ENREF_14" w:tooltip="Kim, 2016 #44" w:history="1">
        <w:r>
          <w:rPr>
            <w:rFonts w:asciiTheme="majorBidi" w:eastAsia="HYSinMyeongJo-Medium" w:hAnsiTheme="majorBidi" w:cstheme="majorBidi"/>
            <w:sz w:val="22"/>
            <w:shd w:val="clear" w:color="auto" w:fill="FFFFFF"/>
          </w:rPr>
          <w:t>Kim et al., (2016</w:t>
        </w:r>
      </w:hyperlink>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stated that the top cause’s factors in Vietnam are financial problems of the organizations, irresponsible project staff, frequent changes on site by the clients, incapability, and inadequate experience of the contractors.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&lt;EndNote&gt;&lt;Cite&gt;&lt;Author&gt;Iyer&lt;/Author&gt;&lt;Year&gt;2005&lt;/Year&gt;&lt;RecNum&gt;45&lt;/RecNum&gt;&lt;DisplayText&gt;(Iyer &amp;amp; Jha, 2005)&lt;/DisplayText&gt;&lt;record&gt;&lt;rec-number&gt;45&lt;/rec-number&gt;&lt;foreign-keys&gt;&lt;key app="EN" db-id="vfxaxssab220zke05fbvp0atztvft95dwrpz" timestamp="1665197274"&gt;45&lt;/key&gt;&lt;/foreign-keys&gt;&lt;ref-type name="Journal Article"&gt;17&lt;/ref-type&gt;&lt;contributors&gt;&lt;authors&gt;&lt;author&gt;Iyer, KC&lt;/author&gt;&lt;author&gt;Jha, KN&lt;/author&gt;&lt;/authors&gt;&lt;/contributors&gt;&lt;titles&gt;&lt;title&gt;Factors affecting cost performance: evidence from Indian construction projects&lt;/title&gt;&lt;secondary-title&gt;International journal of project management&lt;/secondary-title&gt;&lt;/titles&gt;&lt;periodical&gt;&lt;full-title&gt;International journal of project management&lt;/full-title&gt;&lt;/periodical&gt;&lt;pages&gt;283-295&lt;/pages&gt;&lt;volume&gt;23&lt;/volume&gt;&lt;number&gt;4&lt;/number&gt;&lt;dates&gt;&lt;year&gt;2005&lt;/year&gt;&lt;/dates&gt;&lt;isbn&gt;0263-7863&lt;/isbn&gt;&lt;urls&gt;&lt;/urls&gt;&lt;/record&gt;&lt;/Cite&gt;&lt;/EndNote&gt;</w:instrText>
      </w:r>
      <w:r>
        <w:rPr>
          <w:rFonts w:asciiTheme="majorBidi" w:eastAsia="HYSinMyeongJo-Medium" w:hAnsiTheme="majorBidi" w:cstheme="majorBidi"/>
          <w:sz w:val="22"/>
          <w:shd w:val="clear" w:color="auto" w:fill="FFFFFF"/>
        </w:rPr>
        <w:fldChar w:fldCharType="separate"/>
      </w:r>
      <w:hyperlink w:anchor="_ENREF_13" w:tooltip="Iyer, 2005 #45" w:history="1">
        <w:r>
          <w:rPr>
            <w:rFonts w:asciiTheme="majorBidi" w:eastAsia="HYSinMyeongJo-Medium" w:hAnsiTheme="majorBidi" w:cstheme="majorBidi"/>
            <w:sz w:val="22"/>
            <w:shd w:val="clear" w:color="auto" w:fill="FFFFFF"/>
          </w:rPr>
          <w:t>Iyer &amp; Jha, (2005</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stated that the Indian construction projects, from the preceding research papers, literature found that the top seven factors are, project accomplishment factors encompass the capability of the leader, sustenance, and relationship with top management.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Public Sector Development Projects (PSDP) Pakistan</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The mechanism of PSDP is the fundamental asset for developing schemes in Pakistan.  The  Planning Commission of Pakistan described that the  PSDP  projects help achieve the goals, establish the government in the plan, and bring fundamental change toward supportable and quantifiable financial goals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&lt;EndNote&gt;&lt;Cite&gt;&lt;Author&gt;Rehman&lt;/Author&gt;&lt;Year&gt;2011&lt;/Year&gt;&lt;RecNum&gt;46&lt;/RecNum&gt;&lt;DisplayText&gt;(Rehman, Khan, &amp;amp; Khan, 2011)&lt;/DisplayText&gt;&lt;record&gt;&lt;rec-number&gt;46&lt;/rec-number&gt;&lt;foreign-keys&gt;&lt;key app="EN" db-id="vfxaxssab220zke05fbvp0atztvft95dwrpz" timestamp="1665197285"&gt;46&lt;/key&gt;&lt;/foreign-keys&gt;&lt;ref-type name="Journal Article"&gt;17&lt;/ref-type&gt;&lt;contributors&gt;&lt;authors&gt;&lt;author&gt;Rehman, Atiq Ur&lt;/author&gt;&lt;author&gt;Khan, Azhar Mansur&lt;/author&gt;&lt;author&gt;Khan, Rashid Ahmed&lt;/author&gt;&lt;/authors&gt;&lt;/contributors&gt;&lt;titles&gt;&lt;title&gt;Measuring training effectiveness: A case study of public sector project management in Pakistan&lt;/title&gt;&lt;secondary-title&gt;Journal of Diversity Management (JDM)&lt;/secondary-title&gt;&lt;/titles&gt;&lt;periodical&gt;&lt;full-title&gt;Journal of Diversity Management (JDM)&lt;/full-title&gt;&lt;/periodical&gt;&lt;volume&gt;6&lt;/volume&gt;&lt;number&gt;1&lt;/number&gt;&lt;dates&gt;&lt;year&gt;2011&lt;/year&gt;&lt;/dates&gt;&lt;isbn&gt;2157-9512&lt;/isbn&gt;&lt;urls&gt;&lt;/urls&gt;&lt;/record&gt;&lt;/Cite&gt;&lt;/EndNote&gt;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w:t>
      </w:r>
      <w:hyperlink w:anchor="_ENREF_18" w:tooltip="Rehman, 2011 #46" w:history="1">
        <w:r>
          <w:rPr>
            <w:rFonts w:asciiTheme="majorBidi" w:eastAsia="HYSinMyeongJo-Medium" w:hAnsiTheme="majorBidi" w:cstheme="majorBidi"/>
            <w:sz w:val="22"/>
            <w:shd w:val="clear" w:color="auto" w:fill="FFFFFF"/>
          </w:rPr>
          <w:t>Rehman et al., 2011</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&lt;EndNote&gt;&lt;Cite&gt;&lt;Author&gt;Hussain&lt;/Author&gt;&lt;Year&gt;2018&lt;/Year&gt;&lt;RecNum&gt;48&lt;/RecNum&gt;&lt;DisplayText&gt;(Hussain et al., 2018)&lt;/DisplayText&gt;&lt;record&gt;&lt;rec-number&gt;48&lt;/rec-number&gt;&lt;foreign-keys&gt;&lt;key app="EN" db-id="vfxaxssab220zke05fbvp0atztvft95dwrpz" timestamp="1665197322"&gt;48&lt;/key&gt;&lt;/foreign-keys&gt;&lt;ref-type name="Journal Article"&gt;17&lt;/ref-type&gt;&lt;contributors&gt;&lt;authors&gt;&lt;author&gt;Hussain, Shahid&lt;/author&gt;&lt;author&gt;Zhu, Fangwei&lt;/author&gt;&lt;author&gt;Ali, Zaigham&lt;/author&gt;&lt;author&gt;Aslam, Hassan Danial&lt;/author&gt;&lt;author&gt;Hussain, Abasal&lt;/author&gt;&lt;/authors&gt;&lt;/contributors&gt;&lt;titles&gt;&lt;title&gt;Critical delaying factors: public sector building projects in Gilgit-Baltistan, Pakistan&lt;/title&gt;&lt;secondary-title&gt;Buildings&lt;/secondary-title&gt;&lt;/titles&gt;&lt;periodical&gt;&lt;full-title&gt;Buildings&lt;/full-title&gt;&lt;/periodical&gt;&lt;pages&gt;6&lt;/pages&gt;&lt;volume&gt;8&lt;/volume&gt;&lt;number&gt;1&lt;/number&gt;&lt;dates&gt;&lt;year&gt;2018&lt;/year&gt;&lt;/dates&gt;&lt;urls&gt;&lt;/urls&gt;&lt;/record&gt;&lt;/Cite&gt;&lt;/EndNote&gt;</w:instrText>
      </w:r>
      <w:r>
        <w:rPr>
          <w:rFonts w:asciiTheme="majorBidi" w:eastAsia="HYSinMyeongJo-Medium" w:hAnsiTheme="majorBidi" w:cstheme="majorBidi"/>
          <w:sz w:val="22"/>
          <w:shd w:val="clear" w:color="auto" w:fill="FFFFFF"/>
        </w:rPr>
        <w:fldChar w:fldCharType="separate"/>
      </w:r>
      <w:hyperlink w:anchor="_ENREF_9" w:tooltip="Hussain, 2018 #48" w:history="1">
        <w:r>
          <w:rPr>
            <w:rFonts w:asciiTheme="majorBidi" w:eastAsia="HYSinMyeongJo-Medium" w:hAnsiTheme="majorBidi" w:cstheme="majorBidi"/>
            <w:sz w:val="22"/>
            <w:shd w:val="clear" w:color="auto" w:fill="FFFFFF"/>
          </w:rPr>
          <w:t>Hussain et al., (2018</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concluded in his paper that the causes occur in the Annual Development Projects (ADP) in the Baltistan province of Pakistan. The Baltistan province is one of the inaccessible and underprivileged zones in Pakistan. Due to this cause, most of the construction equipment and materials are delivered late to the site.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&lt;EndNote&gt;&lt;Cite&gt;&lt;Author&gt;Sweis&lt;/Author&gt;&lt;Year&gt;2008&lt;/Year&gt;&lt;RecNum&gt;57&lt;/RecNum&gt;&lt;DisplayText&gt;(Sweis, Sweis, Hammad, &amp;amp; Shboul, 2008)&lt;/DisplayText&gt;&lt;record&gt;&lt;rec-number&gt;57&lt;/rec-number&gt;&lt;foreign-keys&gt;&lt;key app="EN" db-id="vfxaxssab220zke05fbvp0atztvft95dwrpz" timestamp="1665198863"&gt;57&lt;/key&gt;&lt;/foreign-keys&gt;&lt;ref-type name="Journal Article"&gt;17&lt;/ref-type&gt;&lt;contributors&gt;&lt;authors&gt;&lt;author&gt;Sweis, Ghaleb&lt;/author&gt;&lt;author&gt;Sweis, R&lt;/author&gt;&lt;author&gt;Hammad, A Abu&lt;/author&gt;&lt;author&gt;Shboul, A&lt;/author&gt;&lt;/authors&gt;&lt;/contributors&gt;&lt;titles&gt;&lt;title&gt;Delays in construction projects: The case of Jordan&lt;/title&gt;&lt;secondary-title&gt;International Journal of project management&lt;/secondary-title&gt;&lt;/titles&gt;&lt;periodical&gt;&lt;full-title&gt;International journal of project management&lt;/full-title&gt;&lt;/periodical&gt;&lt;pages&gt;665-674&lt;/pages&gt;&lt;volume&gt;26&lt;/volume&gt;&lt;number&gt;6&lt;/number&gt;&lt;dates&gt;&lt;year&gt;2008&lt;/year&gt;&lt;/dates&gt;&lt;isbn&gt;0263-7863&lt;/isbn&gt;&lt;urls&gt;&lt;/urls&gt;&lt;/record&gt;&lt;/Cite&gt;&lt;/EndNote&gt;</w:instrText>
      </w:r>
      <w:r>
        <w:rPr>
          <w:rFonts w:asciiTheme="majorBidi" w:eastAsia="HYSinMyeongJo-Medium" w:hAnsiTheme="majorBidi" w:cstheme="majorBidi"/>
          <w:sz w:val="22"/>
          <w:shd w:val="clear" w:color="auto" w:fill="FFFFFF"/>
        </w:rPr>
        <w:fldChar w:fldCharType="separate"/>
      </w:r>
      <w:hyperlink w:anchor="_ENREF_20" w:tooltip="Sweis, 2008 #57" w:history="1">
        <w:r>
          <w:rPr>
            <w:rFonts w:asciiTheme="majorBidi" w:eastAsia="HYSinMyeongJo-Medium" w:hAnsiTheme="majorBidi" w:cstheme="majorBidi"/>
            <w:sz w:val="22"/>
            <w:shd w:val="clear" w:color="auto" w:fill="FFFFFF"/>
          </w:rPr>
          <w:t>Sweis et al., (2008</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stated that the top rank cause of delays is the payment problems in Pakistan. HEC and the planning commission are expected to finish the projects within a specified time.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In recent years, many researchers have worked to identify the cause of delays in different construction projects. In Pakistan, such research is minimal and unavailable. The policymaker and public sector institutions need to be aware of the causes of delays in construction sector projects for better decision-making, specifically in public sector university projects.</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Identifying and understanding these factors would help the organizations reduce the impact of these delaying factors on the projects. Identifying factors is yet challenging, and prioritizing these delaying factors is needed.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Therefore, this study aims to identify and assess the primary factors causing delays in public-sector university construction projects in KP. Further analysis of those factors through SPSS software. A </w:t>
      </w:r>
      <w:r>
        <w:rPr>
          <w:rFonts w:asciiTheme="majorBidi" w:eastAsia="HYSinMyeongJo-Medium" w:hAnsiTheme="majorBidi" w:cstheme="majorBidi"/>
          <w:sz w:val="22"/>
          <w:shd w:val="clear" w:color="auto" w:fill="FFFFFF"/>
        </w:rPr>
        <w:lastRenderedPageBreak/>
        <w:t>quantitative approach suggested remedial measures to overcome the delay factors. Table 1 presents the group-wise factors related to the public sector university infrastructure project in KP under the investigation of this study.</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
          <w:kern w:val="0"/>
          <w:sz w:val="22"/>
          <w:shd w:val="clear" w:color="auto" w:fill="FFFFFF"/>
        </w:rPr>
      </w:pPr>
      <w:r>
        <w:rPr>
          <w:rFonts w:asciiTheme="majorBidi" w:eastAsia="HYSinMyeongJo-Medium" w:hAnsiTheme="majorBidi" w:cstheme="majorBidi"/>
          <w:b/>
          <w:kern w:val="0"/>
          <w:sz w:val="22"/>
          <w:shd w:val="clear" w:color="auto" w:fill="FFFFFF"/>
        </w:rPr>
        <w:t>Research Method</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Research Methodology</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This research study used a descriptive methodology. This design is suitable for defining the state of delaying or for describing the relations among the various groups and their factors in each group. Khyber Pakhtunkhwa, Pakistan, was selected as a case study because much improvement can be made in constructing public sector universities in KP, Pakistan. Most of the factors were self-developed with the interview to collect the qualitative viewpoints of the experts, and most of the factors taken from the literature were modified as per the study environment to fulfill the study objectives. A quantitative survey method was adopted by checking the importance of each factor in different groups. The output of this study is a gateway to improving delaying factors in the construction of public-sector university projects. Finally, the data were statistically analyzed using Statistical Packages for Social Sciences (SPSS), the relative importance index (RII), to check the importance level of each factor based on the received feedback. The higher the RII value, the more important the factor. Similarly, the Cronbach Alpha test was conducted to check the factor limit if greater than 0.60 may be considered reliable. The research flow chart is presented in Fig. 2.</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The questionnaires have two parts. The first part is the main chapter of the questionnaire. In this chapter, the respondents assessed the sixty-seven factors in the questionnaire. Five-point Likert scale of 1 to 5 was adopted to assess each delaying factor's influence. These numeric values are assigned to the respondents’ rating: 1 = Strongly Disagree, 2 = Disagree, 3 = Neither Agree nor Disagree, 4 = Agree, 5 = Strongly Agree. The second chapter of the questionnaires has questions regarding respondents’ information, in which they have provided details such as Gender, Age, Designation, Experience, Education, etc. A clear explanation was provided to respondents about the questionnaire before responding to the survey questions.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Target Population and Sample Size</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The sample size is typically split into subgroups based on demographics, such as gender, age, position, experience, and education, to ensure that the total sample accurately represents the whole population.</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sectPr w:rsidR="00CF1981">
          <w:type w:val="continuous"/>
          <w:pgSz w:w="11907" w:h="16839"/>
          <w:pgMar w:top="2880" w:right="2880" w:bottom="2160" w:left="2880" w:header="2448" w:footer="1872" w:gutter="0"/>
          <w:cols w:space="567"/>
          <w:docGrid w:linePitch="360"/>
        </w:sect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
          <w:bCs/>
          <w:i/>
          <w:iCs/>
          <w:sz w:val="18"/>
          <w:szCs w:val="18"/>
          <w:shd w:val="clear" w:color="auto" w:fill="FFFFFF"/>
        </w:rPr>
      </w:pPr>
      <w:r>
        <w:rPr>
          <w:rFonts w:asciiTheme="majorBidi" w:eastAsia="HYSinMyeongJo-Medium" w:hAnsiTheme="majorBidi" w:cstheme="majorBidi"/>
          <w:b/>
          <w:bCs/>
          <w:i/>
          <w:iCs/>
          <w:sz w:val="18"/>
          <w:szCs w:val="18"/>
          <w:shd w:val="clear" w:color="auto" w:fill="FFFFFF"/>
        </w:rPr>
        <w:lastRenderedPageBreak/>
        <w:t>Table 1</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i/>
          <w:iCs/>
          <w:sz w:val="18"/>
          <w:szCs w:val="18"/>
          <w:shd w:val="clear" w:color="auto" w:fill="FFFFFF"/>
        </w:rPr>
      </w:pPr>
      <w:r>
        <w:rPr>
          <w:rFonts w:asciiTheme="majorBidi" w:eastAsia="HYSinMyeongJo-Medium" w:hAnsiTheme="majorBidi" w:cstheme="majorBidi"/>
          <w:i/>
          <w:iCs/>
          <w:sz w:val="18"/>
          <w:szCs w:val="18"/>
          <w:shd w:val="clear" w:color="auto" w:fill="FFFFFF"/>
        </w:rPr>
        <w:t>Description of Factors and their references</w:t>
      </w:r>
    </w:p>
    <w:tbl>
      <w:tblPr>
        <w:tblStyle w:val="TableGrid"/>
        <w:tblW w:w="5000" w:type="pct"/>
        <w:tblLook w:val="04A0" w:firstRow="1" w:lastRow="0" w:firstColumn="1" w:lastColumn="0" w:noHBand="0" w:noVBand="1"/>
      </w:tblPr>
      <w:tblGrid>
        <w:gridCol w:w="582"/>
        <w:gridCol w:w="3292"/>
        <w:gridCol w:w="2273"/>
      </w:tblGrid>
      <w:tr w:rsidR="00CF1981" w:rsidTr="00BB71D6">
        <w:trPr>
          <w:trHeight w:val="350"/>
        </w:trPr>
        <w:tc>
          <w:tcPr>
            <w:tcW w:w="391" w:type="pct"/>
            <w:tcBorders>
              <w:left w:val="nil"/>
              <w:bottom w:val="single" w:sz="4" w:space="0" w:color="auto"/>
              <w:right w:val="nil"/>
            </w:tcBorders>
          </w:tcPr>
          <w:p w:rsidR="00CF1981" w:rsidRDefault="00CF1981" w:rsidP="00BB71D6">
            <w:pPr>
              <w:wordWrap/>
              <w:spacing w:line="240" w:lineRule="auto"/>
              <w:jc w:val="center"/>
              <w:rPr>
                <w:rFonts w:asciiTheme="majorBidi" w:hAnsiTheme="majorBidi" w:cstheme="majorBidi"/>
                <w:b/>
                <w:bCs/>
                <w:sz w:val="18"/>
                <w:szCs w:val="18"/>
              </w:rPr>
            </w:pPr>
            <w:r>
              <w:rPr>
                <w:rFonts w:asciiTheme="majorBidi" w:hAnsiTheme="majorBidi" w:cstheme="majorBidi"/>
                <w:b/>
                <w:bCs/>
                <w:sz w:val="18"/>
                <w:szCs w:val="18"/>
              </w:rPr>
              <w:t>S.No</w:t>
            </w:r>
          </w:p>
        </w:tc>
        <w:tc>
          <w:tcPr>
            <w:tcW w:w="2719" w:type="pct"/>
            <w:tcBorders>
              <w:left w:val="nil"/>
              <w:bottom w:val="single" w:sz="4" w:space="0" w:color="auto"/>
              <w:right w:val="nil"/>
            </w:tcBorders>
          </w:tcPr>
          <w:p w:rsidR="00CF1981" w:rsidRDefault="00CF1981" w:rsidP="00BB71D6">
            <w:pPr>
              <w:wordWrap/>
              <w:spacing w:line="240" w:lineRule="auto"/>
              <w:jc w:val="center"/>
              <w:rPr>
                <w:rFonts w:asciiTheme="majorBidi" w:hAnsiTheme="majorBidi" w:cstheme="majorBidi"/>
                <w:b/>
                <w:bCs/>
                <w:sz w:val="18"/>
                <w:szCs w:val="18"/>
              </w:rPr>
            </w:pPr>
            <w:r>
              <w:rPr>
                <w:rFonts w:asciiTheme="majorBidi" w:hAnsiTheme="majorBidi" w:cstheme="majorBidi"/>
                <w:b/>
                <w:bCs/>
                <w:sz w:val="18"/>
                <w:szCs w:val="18"/>
              </w:rPr>
              <w:t>Factor</w:t>
            </w:r>
          </w:p>
        </w:tc>
        <w:tc>
          <w:tcPr>
            <w:tcW w:w="1890" w:type="pct"/>
            <w:tcBorders>
              <w:left w:val="nil"/>
              <w:bottom w:val="single" w:sz="4" w:space="0" w:color="auto"/>
              <w:right w:val="nil"/>
            </w:tcBorders>
          </w:tcPr>
          <w:p w:rsidR="00CF1981" w:rsidRDefault="00CF1981" w:rsidP="00BB71D6">
            <w:pPr>
              <w:wordWrap/>
              <w:spacing w:line="240" w:lineRule="auto"/>
              <w:jc w:val="center"/>
              <w:rPr>
                <w:rFonts w:asciiTheme="majorBidi" w:hAnsiTheme="majorBidi" w:cstheme="majorBidi"/>
                <w:b/>
                <w:bCs/>
                <w:sz w:val="18"/>
                <w:szCs w:val="18"/>
              </w:rPr>
            </w:pPr>
            <w:r>
              <w:rPr>
                <w:rFonts w:asciiTheme="majorBidi" w:hAnsiTheme="majorBidi" w:cstheme="majorBidi"/>
                <w:b/>
                <w:bCs/>
                <w:sz w:val="18"/>
                <w:szCs w:val="18"/>
              </w:rPr>
              <w:t>Reference</w:t>
            </w:r>
          </w:p>
        </w:tc>
      </w:tr>
      <w:tr w:rsidR="00CF1981" w:rsidTr="00BB71D6">
        <w:trPr>
          <w:trHeight w:val="341"/>
        </w:trPr>
        <w:tc>
          <w:tcPr>
            <w:tcW w:w="5000" w:type="pct"/>
            <w:gridSpan w:val="3"/>
            <w:tcBorders>
              <w:top w:val="single" w:sz="4" w:space="0" w:color="auto"/>
              <w:left w:val="nil"/>
              <w:bottom w:val="single" w:sz="4" w:space="0" w:color="auto"/>
              <w:right w:val="nil"/>
            </w:tcBorders>
          </w:tcPr>
          <w:p w:rsidR="00CF1981" w:rsidRDefault="00CF1981" w:rsidP="00BB71D6">
            <w:pPr>
              <w:pStyle w:val="ListParagraph"/>
              <w:widowControl/>
              <w:numPr>
                <w:ilvl w:val="0"/>
                <w:numId w:val="3"/>
              </w:numPr>
              <w:wordWrap/>
              <w:autoSpaceDE/>
              <w:autoSpaceDN/>
              <w:spacing w:line="240" w:lineRule="auto"/>
              <w:ind w:left="270"/>
              <w:rPr>
                <w:rFonts w:asciiTheme="majorBidi" w:hAnsiTheme="majorBidi" w:cstheme="majorBidi"/>
                <w:b/>
                <w:bCs/>
                <w:sz w:val="18"/>
                <w:szCs w:val="18"/>
              </w:rPr>
            </w:pPr>
            <w:r>
              <w:rPr>
                <w:rFonts w:asciiTheme="majorBidi" w:eastAsia="Times New Roman" w:hAnsiTheme="majorBidi" w:cstheme="majorBidi"/>
                <w:b/>
                <w:bCs/>
                <w:sz w:val="18"/>
                <w:szCs w:val="18"/>
              </w:rPr>
              <w:t>Higher Education Commission (HEC Related Factors)</w:t>
            </w:r>
            <w:r>
              <w:rPr>
                <w:rFonts w:asciiTheme="majorBidi" w:eastAsia="Times New Roman" w:hAnsiTheme="majorBidi" w:cstheme="majorBidi"/>
                <w:b/>
                <w:bCs/>
                <w:sz w:val="18"/>
                <w:szCs w:val="18"/>
                <w:bdr w:val="single" w:sz="4" w:space="0" w:color="auto"/>
              </w:rPr>
              <w:t xml:space="preserve">  </w:t>
            </w:r>
          </w:p>
        </w:tc>
      </w:tr>
      <w:tr w:rsidR="00CF1981" w:rsidTr="00BB71D6">
        <w:tc>
          <w:tcPr>
            <w:tcW w:w="391" w:type="pct"/>
            <w:tcBorders>
              <w:top w:val="single" w:sz="4" w:space="0" w:color="auto"/>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1.1</w:t>
            </w:r>
          </w:p>
        </w:tc>
        <w:tc>
          <w:tcPr>
            <w:tcW w:w="2719" w:type="pct"/>
            <w:tcBorders>
              <w:top w:val="single" w:sz="4" w:space="0" w:color="auto"/>
              <w:left w:val="nil"/>
              <w:bottom w:val="nil"/>
              <w:right w:val="nil"/>
            </w:tcBorders>
            <w:vAlign w:val="center"/>
          </w:tcPr>
          <w:p w:rsidR="00CF1981" w:rsidRDefault="00CF1981" w:rsidP="00BB71D6">
            <w:pPr>
              <w:wordWrap/>
              <w:spacing w:line="240" w:lineRule="auto"/>
              <w:ind w:right="-496"/>
              <w:rPr>
                <w:rFonts w:asciiTheme="majorBidi" w:hAnsiTheme="majorBidi" w:cstheme="majorBidi"/>
                <w:sz w:val="18"/>
                <w:szCs w:val="18"/>
              </w:rPr>
            </w:pPr>
            <w:r>
              <w:rPr>
                <w:rFonts w:asciiTheme="majorBidi" w:eastAsia="Times New Roman" w:hAnsiTheme="majorBidi" w:cstheme="majorBidi"/>
                <w:sz w:val="18"/>
                <w:szCs w:val="18"/>
              </w:rPr>
              <w:t>PC-1 goals not matching with the real project</w:t>
            </w:r>
          </w:p>
        </w:tc>
        <w:tc>
          <w:tcPr>
            <w:tcW w:w="1890" w:type="pct"/>
            <w:tcBorders>
              <w:top w:val="single" w:sz="4" w:space="0" w:color="auto"/>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1.2</w:t>
            </w:r>
          </w:p>
        </w:tc>
        <w:tc>
          <w:tcPr>
            <w:tcW w:w="2719" w:type="pct"/>
            <w:tcBorders>
              <w:top w:val="nil"/>
              <w:left w:val="nil"/>
              <w:bottom w:val="nil"/>
              <w:right w:val="nil"/>
            </w:tcBorders>
            <w:vAlign w:val="center"/>
          </w:tcPr>
          <w:p w:rsidR="00CF1981" w:rsidRDefault="00CF1981" w:rsidP="00BB71D6">
            <w:pPr>
              <w:wordWrap/>
              <w:spacing w:line="240" w:lineRule="auto"/>
              <w:ind w:right="-406"/>
              <w:rPr>
                <w:rFonts w:asciiTheme="majorBidi" w:hAnsiTheme="majorBidi" w:cstheme="majorBidi"/>
                <w:sz w:val="18"/>
                <w:szCs w:val="18"/>
              </w:rPr>
            </w:pPr>
            <w:r>
              <w:rPr>
                <w:rFonts w:asciiTheme="majorBidi" w:eastAsia="Times New Roman" w:hAnsiTheme="majorBidi" w:cstheme="majorBidi"/>
                <w:sz w:val="18"/>
                <w:szCs w:val="18"/>
              </w:rPr>
              <w:t xml:space="preserve">delay in running IPCs payments by the department </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1.3</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hAnsiTheme="majorBidi" w:cstheme="majorBidi"/>
                <w:sz w:val="18"/>
                <w:szCs w:val="18"/>
              </w:rPr>
            </w:pPr>
            <w:r>
              <w:rPr>
                <w:rFonts w:asciiTheme="majorBidi" w:eastAsia="Times New Roman" w:hAnsiTheme="majorBidi" w:cstheme="majorBidi"/>
                <w:sz w:val="18"/>
                <w:szCs w:val="18"/>
              </w:rPr>
              <w:t>Delay in the recruitment process of consultants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1.4</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hAnsiTheme="majorBidi" w:cstheme="majorBidi"/>
                <w:sz w:val="18"/>
                <w:szCs w:val="18"/>
              </w:rPr>
            </w:pPr>
            <w:r>
              <w:rPr>
                <w:rFonts w:asciiTheme="majorBidi" w:eastAsia="Times New Roman" w:hAnsiTheme="majorBidi" w:cstheme="majorBidi"/>
                <w:sz w:val="18"/>
                <w:szCs w:val="18"/>
              </w:rPr>
              <w:t>Non-availability of Project Director</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1.5</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hAnsiTheme="majorBidi" w:cstheme="majorBidi"/>
                <w:sz w:val="18"/>
                <w:szCs w:val="18"/>
              </w:rPr>
            </w:pPr>
            <w:r>
              <w:rPr>
                <w:rFonts w:asciiTheme="majorBidi" w:eastAsia="Times New Roman" w:hAnsiTheme="majorBidi" w:cstheme="majorBidi"/>
                <w:sz w:val="18"/>
                <w:szCs w:val="18"/>
              </w:rPr>
              <w:t>Delay in the approval of a Master Plan</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1.6</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hAnsiTheme="majorBidi" w:cstheme="majorBidi"/>
                <w:sz w:val="18"/>
                <w:szCs w:val="18"/>
              </w:rPr>
            </w:pPr>
            <w:r>
              <w:rPr>
                <w:rFonts w:asciiTheme="majorBidi" w:eastAsia="Times New Roman" w:hAnsiTheme="majorBidi" w:cstheme="majorBidi"/>
                <w:sz w:val="18"/>
                <w:szCs w:val="18"/>
              </w:rPr>
              <w:t>Lack of Communication with HEIs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1.7</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hAnsiTheme="majorBidi" w:cstheme="majorBidi"/>
                <w:sz w:val="18"/>
                <w:szCs w:val="18"/>
              </w:rPr>
            </w:pPr>
            <w:r>
              <w:rPr>
                <w:rFonts w:asciiTheme="majorBidi" w:eastAsia="Times New Roman" w:hAnsiTheme="majorBidi" w:cstheme="majorBidi"/>
                <w:sz w:val="18"/>
                <w:szCs w:val="18"/>
              </w:rPr>
              <w:t>Availability of funds for variations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single" w:sz="4" w:space="0" w:color="auto"/>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1.8</w:t>
            </w:r>
          </w:p>
        </w:tc>
        <w:tc>
          <w:tcPr>
            <w:tcW w:w="2719" w:type="pct"/>
            <w:tcBorders>
              <w:top w:val="nil"/>
              <w:left w:val="nil"/>
              <w:bottom w:val="single" w:sz="4" w:space="0" w:color="auto"/>
              <w:right w:val="nil"/>
            </w:tcBorders>
            <w:vAlign w:val="center"/>
          </w:tcPr>
          <w:p w:rsidR="00CF1981" w:rsidRDefault="00CF1981" w:rsidP="00BB71D6">
            <w:pPr>
              <w:wordWrap/>
              <w:spacing w:line="240" w:lineRule="auto"/>
              <w:rPr>
                <w:rFonts w:asciiTheme="majorBidi" w:hAnsiTheme="majorBidi" w:cstheme="majorBidi"/>
                <w:sz w:val="18"/>
                <w:szCs w:val="18"/>
              </w:rPr>
            </w:pPr>
            <w:r>
              <w:rPr>
                <w:rFonts w:asciiTheme="majorBidi" w:eastAsia="Times New Roman" w:hAnsiTheme="majorBidi" w:cstheme="majorBidi"/>
                <w:sz w:val="18"/>
                <w:szCs w:val="18"/>
              </w:rPr>
              <w:t>Non-availability of a legal advisor</w:t>
            </w:r>
          </w:p>
        </w:tc>
        <w:tc>
          <w:tcPr>
            <w:tcW w:w="1890" w:type="pct"/>
            <w:tcBorders>
              <w:top w:val="nil"/>
              <w:left w:val="nil"/>
              <w:bottom w:val="single" w:sz="4" w:space="0" w:color="auto"/>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rPr>
          <w:trHeight w:val="359"/>
        </w:trPr>
        <w:tc>
          <w:tcPr>
            <w:tcW w:w="5000" w:type="pct"/>
            <w:gridSpan w:val="3"/>
            <w:tcBorders>
              <w:top w:val="single" w:sz="4" w:space="0" w:color="auto"/>
              <w:left w:val="nil"/>
              <w:bottom w:val="single" w:sz="4" w:space="0" w:color="auto"/>
              <w:right w:val="nil"/>
            </w:tcBorders>
          </w:tcPr>
          <w:p w:rsidR="00CF1981" w:rsidRDefault="00CF1981" w:rsidP="00BB71D6">
            <w:pPr>
              <w:pStyle w:val="ListParagraph"/>
              <w:widowControl/>
              <w:numPr>
                <w:ilvl w:val="0"/>
                <w:numId w:val="3"/>
              </w:numPr>
              <w:wordWrap/>
              <w:autoSpaceDE/>
              <w:autoSpaceDN/>
              <w:spacing w:line="240" w:lineRule="auto"/>
              <w:rPr>
                <w:rFonts w:asciiTheme="majorBidi" w:hAnsiTheme="majorBidi" w:cstheme="majorBidi"/>
                <w:b/>
                <w:bCs/>
                <w:sz w:val="18"/>
                <w:szCs w:val="18"/>
              </w:rPr>
            </w:pPr>
            <w:r>
              <w:rPr>
                <w:rFonts w:asciiTheme="majorBidi" w:eastAsia="Times New Roman" w:hAnsiTheme="majorBidi" w:cstheme="majorBidi"/>
                <w:b/>
                <w:bCs/>
                <w:sz w:val="18"/>
                <w:szCs w:val="18"/>
              </w:rPr>
              <w:t>Higher Education Institution (HEI) Related Factors</w:t>
            </w:r>
          </w:p>
        </w:tc>
      </w:tr>
      <w:tr w:rsidR="00CF1981" w:rsidTr="00BB71D6">
        <w:tc>
          <w:tcPr>
            <w:tcW w:w="391" w:type="pct"/>
            <w:tcBorders>
              <w:top w:val="single" w:sz="4" w:space="0" w:color="auto"/>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2.1</w:t>
            </w:r>
          </w:p>
        </w:tc>
        <w:tc>
          <w:tcPr>
            <w:tcW w:w="2719" w:type="pct"/>
            <w:tcBorders>
              <w:top w:val="single" w:sz="4" w:space="0" w:color="auto"/>
              <w:left w:val="nil"/>
              <w:bottom w:val="nil"/>
              <w:right w:val="nil"/>
            </w:tcBorders>
            <w:vAlign w:val="bottom"/>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Corruption tendencies </w:t>
            </w:r>
          </w:p>
        </w:tc>
        <w:tc>
          <w:tcPr>
            <w:tcW w:w="1890" w:type="pct"/>
            <w:tcBorders>
              <w:top w:val="single" w:sz="4" w:space="0" w:color="auto"/>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fldChar w:fldCharType="begin"/>
            </w:r>
            <w:r>
              <w:rPr>
                <w:rFonts w:asciiTheme="majorBidi" w:hAnsiTheme="majorBidi" w:cstheme="majorBidi"/>
                <w:sz w:val="18"/>
                <w:szCs w:val="18"/>
              </w:rPr>
              <w:instrText xml:space="preserve"> ADDIN EN.CITE &lt;EndNote&gt;&lt;Cite&gt;&lt;Author&gt;Kim&lt;/Author&gt;&lt;Year&gt;2016&lt;/Year&gt;&lt;RecNum&gt;44&lt;/RecNum&gt;&lt;DisplayText&gt;(Kim &amp;amp; Tuan, 2016)&lt;/DisplayText&gt;&lt;record&gt;&lt;rec-number&gt;44&lt;/rec-number&gt;&lt;foreign-keys&gt;&lt;key app="EN" db-id="vfxaxssab220zke05fbvp0atztvft95dwrpz" timestamp="1665197169"&gt;44&lt;/key&gt;&lt;/foreign-keys&gt;&lt;ref-type name="Journal Article"&gt;17&lt;/ref-type&gt;&lt;contributors&gt;&lt;authors&gt;&lt;author&gt;Kim, Soo-Yong&lt;/author&gt;&lt;author&gt;Tuan, Kiet Nguyen&lt;/author&gt;&lt;/authors&gt;&lt;/contributors&gt;&lt;titles&gt;&lt;title&gt;Delay factor analysis for hospital projects in Vietnam&lt;/title&gt;&lt;secondary-title&gt;KSCE Journal of Civil Engineering&lt;/secondary-title&gt;&lt;/titles&gt;&lt;periodical&gt;&lt;full-title&gt;KSCE Journal of Civil Engineering&lt;/full-title&gt;&lt;/periodical&gt;&lt;pages&gt;519-529&lt;/pages&gt;&lt;volume&gt;20&lt;/volume&gt;&lt;number&gt;2&lt;/number&gt;&lt;dates&gt;&lt;year&gt;2016&lt;/year&gt;&lt;/dates&gt;&lt;isbn&gt;1976-3808&lt;/isbn&gt;&lt;urls&gt;&lt;/urls&gt;&lt;/record&gt;&lt;/Cite&gt;&lt;/EndNote&gt;</w:instrText>
            </w:r>
            <w:r>
              <w:rPr>
                <w:rFonts w:asciiTheme="majorBidi" w:hAnsiTheme="majorBidi" w:cstheme="majorBidi"/>
                <w:sz w:val="18"/>
                <w:szCs w:val="18"/>
              </w:rPr>
              <w:fldChar w:fldCharType="separate"/>
            </w:r>
            <w:r>
              <w:rPr>
                <w:rFonts w:asciiTheme="majorBidi" w:hAnsiTheme="majorBidi" w:cstheme="majorBidi"/>
                <w:sz w:val="18"/>
                <w:szCs w:val="18"/>
              </w:rPr>
              <w:t>(</w:t>
            </w:r>
            <w:hyperlink w:anchor="_ENREF_14" w:tooltip="Kim, 2016 #44" w:history="1">
              <w:r>
                <w:rPr>
                  <w:rFonts w:asciiTheme="majorBidi" w:hAnsiTheme="majorBidi" w:cstheme="majorBidi"/>
                  <w:sz w:val="18"/>
                  <w:szCs w:val="18"/>
                </w:rPr>
                <w:t>Kim et al., 2016</w:t>
              </w:r>
            </w:hyperlink>
            <w:r>
              <w:rPr>
                <w:rFonts w:asciiTheme="majorBidi" w:hAnsiTheme="majorBidi" w:cstheme="majorBidi"/>
                <w:sz w:val="18"/>
                <w:szCs w:val="18"/>
              </w:rPr>
              <w:t>)</w:t>
            </w:r>
            <w:r>
              <w:rPr>
                <w:rFonts w:asciiTheme="majorBidi" w:hAnsiTheme="majorBidi" w:cstheme="majorBidi"/>
                <w:sz w:val="18"/>
                <w:szCs w:val="18"/>
              </w:rPr>
              <w:fldChar w:fldCharType="end"/>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2.2</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Selection of Incompetent Project Director</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2.3</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The hiring of non-technical staff for a technical position</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2.4</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A complicated system of file processing</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2.5</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Lack of interdepartmental SOP's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2.6</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Law regulations of Pakistan i.e., PPRA, KPPRA </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2.7</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Inadequate project feasibility study</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2.8</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Office Politics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2.9</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The slow decision-making process by the HEI</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2.10</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Lack of Planning &amp; management of Works staff</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2.11</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Variation in scope, contract of works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2.12</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Selection of incompetent consultants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2.13</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No sanction power with Engineering Staff</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2.14</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Strength of Engineering staff</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2.15</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Incompetency of Engineering staff</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2.16</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Lack of belief in Engineering staff</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2.17</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Delay in running bills payment of </w:t>
            </w:r>
            <w:r>
              <w:rPr>
                <w:rFonts w:asciiTheme="majorBidi" w:eastAsia="Times New Roman" w:hAnsiTheme="majorBidi" w:cstheme="majorBidi"/>
                <w:sz w:val="18"/>
                <w:szCs w:val="18"/>
              </w:rPr>
              <w:lastRenderedPageBreak/>
              <w:t xml:space="preserve">contractors </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lastRenderedPageBreak/>
              <w:t xml:space="preserve">(Establish through </w:t>
            </w:r>
            <w:r>
              <w:rPr>
                <w:rFonts w:asciiTheme="majorBidi" w:hAnsiTheme="majorBidi" w:cstheme="majorBidi"/>
                <w:sz w:val="18"/>
                <w:szCs w:val="18"/>
              </w:rPr>
              <w:lastRenderedPageBreak/>
              <w:t>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lastRenderedPageBreak/>
              <w:t>2.18</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Land clash during purchasing of land</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single" w:sz="4" w:space="0" w:color="auto"/>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2.19</w:t>
            </w:r>
          </w:p>
        </w:tc>
        <w:tc>
          <w:tcPr>
            <w:tcW w:w="2719" w:type="pct"/>
            <w:tcBorders>
              <w:top w:val="nil"/>
              <w:left w:val="nil"/>
              <w:bottom w:val="single" w:sz="4" w:space="0" w:color="auto"/>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Procurement rules complexity </w:t>
            </w:r>
          </w:p>
        </w:tc>
        <w:tc>
          <w:tcPr>
            <w:tcW w:w="1890" w:type="pct"/>
            <w:tcBorders>
              <w:top w:val="nil"/>
              <w:left w:val="nil"/>
              <w:bottom w:val="single" w:sz="4" w:space="0" w:color="auto"/>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rPr>
          <w:trHeight w:val="332"/>
        </w:trPr>
        <w:tc>
          <w:tcPr>
            <w:tcW w:w="5000" w:type="pct"/>
            <w:gridSpan w:val="3"/>
            <w:tcBorders>
              <w:top w:val="single" w:sz="4" w:space="0" w:color="auto"/>
              <w:left w:val="nil"/>
              <w:bottom w:val="single" w:sz="4" w:space="0" w:color="auto"/>
              <w:right w:val="nil"/>
            </w:tcBorders>
          </w:tcPr>
          <w:p w:rsidR="00CF1981" w:rsidRDefault="00CF1981" w:rsidP="00BB71D6">
            <w:pPr>
              <w:pStyle w:val="ListParagraph"/>
              <w:widowControl/>
              <w:numPr>
                <w:ilvl w:val="0"/>
                <w:numId w:val="3"/>
              </w:numPr>
              <w:wordWrap/>
              <w:autoSpaceDE/>
              <w:autoSpaceDN/>
              <w:spacing w:line="240" w:lineRule="auto"/>
              <w:rPr>
                <w:rFonts w:asciiTheme="majorBidi" w:hAnsiTheme="majorBidi" w:cstheme="majorBidi"/>
                <w:b/>
                <w:bCs/>
                <w:sz w:val="18"/>
                <w:szCs w:val="18"/>
              </w:rPr>
            </w:pPr>
            <w:r>
              <w:rPr>
                <w:rFonts w:asciiTheme="majorBidi" w:eastAsia="Times New Roman" w:hAnsiTheme="majorBidi" w:cstheme="majorBidi"/>
                <w:b/>
                <w:bCs/>
                <w:sz w:val="18"/>
                <w:szCs w:val="18"/>
              </w:rPr>
              <w:t>Consultant (CON) Related Factors</w:t>
            </w:r>
          </w:p>
        </w:tc>
      </w:tr>
      <w:tr w:rsidR="00CF1981" w:rsidTr="00BB71D6">
        <w:tc>
          <w:tcPr>
            <w:tcW w:w="391" w:type="pct"/>
            <w:tcBorders>
              <w:top w:val="single" w:sz="4" w:space="0" w:color="auto"/>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3.1</w:t>
            </w:r>
          </w:p>
        </w:tc>
        <w:tc>
          <w:tcPr>
            <w:tcW w:w="2719" w:type="pct"/>
            <w:tcBorders>
              <w:top w:val="single" w:sz="4" w:space="0" w:color="auto"/>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Newly established consultants win the project by quoting less rates</w:t>
            </w:r>
          </w:p>
        </w:tc>
        <w:tc>
          <w:tcPr>
            <w:tcW w:w="1890" w:type="pct"/>
            <w:tcBorders>
              <w:top w:val="single" w:sz="4" w:space="0" w:color="auto"/>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3.2</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Errors and discrepancies in the contract documents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3.3</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Inadequate and wrong bidding documents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3.4</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Uncertain and insufficient particulars in the drawings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3.5</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Interruption in the endorsement of a master plan</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3.6</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Regularly change of project execution staff</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3.7</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unclear feasibility report and survey of the project</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3.8</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Unauthorized consultant project execution staff</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3.9</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Designing not as per advanced Engineering Software</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rPr>
          <w:trHeight w:val="387"/>
        </w:trPr>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3.10</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Lack of supervision by the staff </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single" w:sz="4" w:space="0" w:color="auto"/>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3.11</w:t>
            </w:r>
          </w:p>
        </w:tc>
        <w:tc>
          <w:tcPr>
            <w:tcW w:w="2719" w:type="pct"/>
            <w:tcBorders>
              <w:top w:val="nil"/>
              <w:left w:val="nil"/>
              <w:bottom w:val="single" w:sz="4" w:space="0" w:color="auto"/>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Time extension and payment dispute</w:t>
            </w:r>
          </w:p>
        </w:tc>
        <w:tc>
          <w:tcPr>
            <w:tcW w:w="1890" w:type="pct"/>
            <w:tcBorders>
              <w:top w:val="nil"/>
              <w:left w:val="nil"/>
              <w:bottom w:val="single" w:sz="4" w:space="0" w:color="auto"/>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rPr>
          <w:trHeight w:val="350"/>
        </w:trPr>
        <w:tc>
          <w:tcPr>
            <w:tcW w:w="5000" w:type="pct"/>
            <w:gridSpan w:val="3"/>
            <w:tcBorders>
              <w:top w:val="single" w:sz="4" w:space="0" w:color="auto"/>
              <w:left w:val="nil"/>
              <w:bottom w:val="single" w:sz="4" w:space="0" w:color="auto"/>
              <w:right w:val="nil"/>
            </w:tcBorders>
          </w:tcPr>
          <w:p w:rsidR="00CF1981" w:rsidRDefault="00CF1981" w:rsidP="00BB71D6">
            <w:pPr>
              <w:pStyle w:val="ListParagraph"/>
              <w:widowControl/>
              <w:numPr>
                <w:ilvl w:val="0"/>
                <w:numId w:val="3"/>
              </w:numPr>
              <w:wordWrap/>
              <w:autoSpaceDE/>
              <w:autoSpaceDN/>
              <w:spacing w:line="240" w:lineRule="auto"/>
              <w:rPr>
                <w:rFonts w:asciiTheme="majorBidi" w:hAnsiTheme="majorBidi" w:cstheme="majorBidi"/>
                <w:b/>
                <w:bCs/>
                <w:sz w:val="18"/>
                <w:szCs w:val="18"/>
              </w:rPr>
            </w:pPr>
            <w:r>
              <w:rPr>
                <w:rFonts w:asciiTheme="majorBidi" w:eastAsia="Times New Roman" w:hAnsiTheme="majorBidi" w:cstheme="majorBidi"/>
                <w:b/>
                <w:bCs/>
                <w:sz w:val="18"/>
                <w:szCs w:val="18"/>
              </w:rPr>
              <w:t>Contractor (COT) Related Factors</w:t>
            </w:r>
          </w:p>
        </w:tc>
      </w:tr>
      <w:tr w:rsidR="00CF1981" w:rsidTr="00BB71D6">
        <w:tc>
          <w:tcPr>
            <w:tcW w:w="391" w:type="pct"/>
            <w:tcBorders>
              <w:top w:val="single" w:sz="4" w:space="0" w:color="auto"/>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4.1</w:t>
            </w:r>
          </w:p>
        </w:tc>
        <w:tc>
          <w:tcPr>
            <w:tcW w:w="2719" w:type="pct"/>
            <w:tcBorders>
              <w:top w:val="single" w:sz="4" w:space="0" w:color="auto"/>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Deployment delay of the contractor</w:t>
            </w:r>
          </w:p>
        </w:tc>
        <w:tc>
          <w:tcPr>
            <w:tcW w:w="1890" w:type="pct"/>
            <w:tcBorders>
              <w:top w:val="single" w:sz="4" w:space="0" w:color="auto"/>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4.2</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Unavailability of advanced construction equipment</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4.3</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Incompetent contractors win the bid</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4.4</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Absence of specialized techniques by the contractors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4.5</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The gap between the department and the consultant </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4.6</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Unstable ground for sub-contractors of the project</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4.7</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Shortage of skilled labors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fldChar w:fldCharType="begin"/>
            </w:r>
            <w:r>
              <w:rPr>
                <w:rFonts w:asciiTheme="majorBidi" w:hAnsiTheme="majorBidi" w:cstheme="majorBidi"/>
                <w:sz w:val="18"/>
                <w:szCs w:val="18"/>
              </w:rPr>
              <w:instrText xml:space="preserve"> ADDIN EN.CITE &lt;EndNote&gt;&lt;Cite&gt;&lt;Author&gt;Haseeb&lt;/Author&gt;&lt;Year&gt;2011&lt;/Year&gt;&lt;RecNum&gt;49&lt;/RecNum&gt;&lt;DisplayText&gt;(Haseeb, Lu, Bibi, Dyian, &amp;amp; Rabbani, 2011)&lt;/DisplayText&gt;&lt;record&gt;&lt;rec-number&gt;49&lt;/rec-number&gt;&lt;foreign-keys&gt;&lt;key app="EN" db-id="vfxaxssab220zke05fbvp0atztvft95dwrpz" timestamp="1665197336"&gt;49&lt;/key&gt;&lt;/foreign-keys&gt;&lt;ref-type name="Journal Article"&gt;17&lt;/ref-type&gt;&lt;contributors&gt;&lt;authors&gt;&lt;author&gt;Haseeb, Muhammad&lt;/author&gt;&lt;author&gt;Lu, Xinhai&lt;/author&gt;&lt;author&gt;Bibi, Aneesa&lt;/author&gt;&lt;author&gt;Dyian, Maloof-Ud&lt;/author&gt;&lt;author&gt;Rabbani, Wahab&lt;/author&gt;&lt;/authors&gt;&lt;/contributors&gt;&lt;titles&gt;&lt;title&gt;Causes and effects of delays in large construction projects of Pakistan&lt;/title&gt;&lt;secondary-title&gt;Kuwait Chapter of Arabian Journal of Business and Management Review&lt;/secondary-title&gt;&lt;/titles&gt;&lt;periodical&gt;&lt;full-title&gt;Kuwait Chapter of Arabian Journal of Business and Management Review&lt;/full-title&gt;&lt;/periodical&gt;&lt;pages&gt;1-25&lt;/pages&gt;&lt;volume&gt;33&lt;/volume&gt;&lt;number&gt;832&lt;/number&gt;&lt;dates&gt;&lt;year&gt;2011&lt;/year&gt;&lt;/dates&gt;&lt;isbn&gt;2224-8358&lt;/isbn&gt;&lt;urls&gt;&lt;/urls&gt;&lt;/record&gt;&lt;/Cite&gt;&lt;/EndNote&gt;</w:instrText>
            </w:r>
            <w:r>
              <w:rPr>
                <w:rFonts w:asciiTheme="majorBidi" w:hAnsiTheme="majorBidi" w:cstheme="majorBidi"/>
                <w:sz w:val="18"/>
                <w:szCs w:val="18"/>
              </w:rPr>
              <w:fldChar w:fldCharType="separate"/>
            </w:r>
            <w:r>
              <w:rPr>
                <w:rFonts w:asciiTheme="majorBidi" w:hAnsiTheme="majorBidi" w:cstheme="majorBidi"/>
                <w:sz w:val="18"/>
                <w:szCs w:val="18"/>
              </w:rPr>
              <w:t>(</w:t>
            </w:r>
            <w:hyperlink w:anchor="_ENREF_8" w:tooltip="Haseeb, 2011 #49" w:history="1">
              <w:r>
                <w:rPr>
                  <w:rFonts w:asciiTheme="majorBidi" w:hAnsiTheme="majorBidi" w:cstheme="majorBidi"/>
                  <w:sz w:val="18"/>
                  <w:szCs w:val="18"/>
                </w:rPr>
                <w:t>Haseeb et al., 2011</w:t>
              </w:r>
            </w:hyperlink>
            <w:r>
              <w:rPr>
                <w:rFonts w:asciiTheme="majorBidi" w:hAnsiTheme="majorBidi" w:cstheme="majorBidi"/>
                <w:sz w:val="18"/>
                <w:szCs w:val="18"/>
              </w:rPr>
              <w:t>)</w:t>
            </w:r>
            <w:r>
              <w:rPr>
                <w:rFonts w:asciiTheme="majorBidi" w:hAnsiTheme="majorBidi" w:cstheme="majorBidi"/>
                <w:sz w:val="18"/>
                <w:szCs w:val="18"/>
              </w:rPr>
              <w:fldChar w:fldCharType="end"/>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4.8</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The low productivity level of skilled labors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fldChar w:fldCharType="begin"/>
            </w:r>
            <w:r>
              <w:rPr>
                <w:rFonts w:asciiTheme="majorBidi" w:hAnsiTheme="majorBidi" w:cstheme="majorBidi"/>
                <w:sz w:val="18"/>
                <w:szCs w:val="18"/>
              </w:rPr>
              <w:instrText xml:space="preserve"> ADDIN EN.CITE &lt;EndNote&gt;&lt;Cite&gt;&lt;Author&gt;Haseeb&lt;/Author&gt;&lt;Year&gt;2011&lt;/Year&gt;&lt;RecNum&gt;49&lt;/RecNum&gt;&lt;DisplayText&gt;(Haseeb et al., 2011)&lt;/DisplayText&gt;&lt;record&gt;&lt;rec-number&gt;49&lt;/rec-number&gt;&lt;foreign-keys&gt;&lt;key app="EN" db-id="vfxaxssab220zke05fbvp0atztvft95dwrpz" timestamp="1665197336"&gt;49&lt;/key&gt;&lt;/foreign-keys&gt;&lt;ref-type name="Journal Article"&gt;17&lt;/ref-type&gt;&lt;contributors&gt;&lt;authors&gt;&lt;author&gt;Haseeb, Muhammad&lt;/author&gt;&lt;author&gt;Lu, Xinhai&lt;/author&gt;&lt;author&gt;Bibi, Aneesa&lt;/author&gt;&lt;author&gt;Dyian, Maloof-Ud&lt;/author&gt;&lt;author&gt;Rabbani, Wahab&lt;/author&gt;&lt;/authors&gt;&lt;/contributors&gt;&lt;titles&gt;&lt;title&gt;Causes and effects of delays in large construction projects of Pakistan&lt;/title&gt;&lt;secondary-title&gt;Kuwait Chapter of Arabian Journal of Business and Management Review&lt;/secondary-title&gt;&lt;/titles&gt;&lt;periodical&gt;&lt;full-title&gt;Kuwait Chapter of Arabian Journal of Business and Management Review&lt;/full-title&gt;&lt;/periodical&gt;&lt;pages&gt;1-25&lt;/pages&gt;&lt;volume&gt;33&lt;/volume&gt;&lt;number&gt;832&lt;/number&gt;&lt;dates&gt;&lt;year&gt;2011&lt;/year&gt;&lt;/dates&gt;&lt;isbn&gt;2224-8358&lt;/isbn&gt;&lt;urls&gt;&lt;/urls&gt;&lt;/record&gt;&lt;/Cite&gt;&lt;/EndNote&gt;</w:instrText>
            </w:r>
            <w:r>
              <w:rPr>
                <w:rFonts w:asciiTheme="majorBidi" w:hAnsiTheme="majorBidi" w:cstheme="majorBidi"/>
                <w:sz w:val="18"/>
                <w:szCs w:val="18"/>
              </w:rPr>
              <w:fldChar w:fldCharType="separate"/>
            </w:r>
            <w:r>
              <w:rPr>
                <w:rFonts w:asciiTheme="majorBidi" w:hAnsiTheme="majorBidi" w:cstheme="majorBidi"/>
                <w:sz w:val="18"/>
                <w:szCs w:val="18"/>
              </w:rPr>
              <w:t>(</w:t>
            </w:r>
            <w:hyperlink w:anchor="_ENREF_8" w:tooltip="Haseeb, 2011 #49" w:history="1">
              <w:r>
                <w:rPr>
                  <w:rFonts w:asciiTheme="majorBidi" w:hAnsiTheme="majorBidi" w:cstheme="majorBidi"/>
                  <w:sz w:val="18"/>
                  <w:szCs w:val="18"/>
                </w:rPr>
                <w:t>Haseeb et al., 2011</w:t>
              </w:r>
            </w:hyperlink>
            <w:r>
              <w:rPr>
                <w:rFonts w:asciiTheme="majorBidi" w:hAnsiTheme="majorBidi" w:cstheme="majorBidi"/>
                <w:sz w:val="18"/>
                <w:szCs w:val="18"/>
              </w:rPr>
              <w:t>)</w:t>
            </w:r>
            <w:r>
              <w:rPr>
                <w:rFonts w:asciiTheme="majorBidi" w:hAnsiTheme="majorBidi" w:cstheme="majorBidi"/>
                <w:sz w:val="18"/>
                <w:szCs w:val="18"/>
              </w:rPr>
              <w:fldChar w:fldCharType="end"/>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4.9</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Non-availability of remote location costs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4.10</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Financial constraints of contractor</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4.11</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Lack of labors compensation policy</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fldChar w:fldCharType="begin"/>
            </w:r>
            <w:r>
              <w:rPr>
                <w:rFonts w:asciiTheme="majorBidi" w:hAnsiTheme="majorBidi" w:cstheme="majorBidi"/>
                <w:sz w:val="18"/>
                <w:szCs w:val="18"/>
              </w:rPr>
              <w:instrText xml:space="preserve"> ADDIN EN.CITE &lt;EndNote&gt;&lt;Cite&gt;&lt;Author&gt;Aibinu&lt;/Author&gt;&lt;Year&gt;2002&lt;/Year&gt;&lt;RecNum&gt;50&lt;/RecNum&gt;&lt;DisplayText&gt;(Aibinu &amp;amp; Jagboro, 2002)&lt;/DisplayText&gt;&lt;record&gt;&lt;rec-number&gt;50&lt;/rec-number&gt;&lt;foreign-keys&gt;&lt;key app="EN" db-id="vfxaxssab220zke05fbvp0atztvft95dwrpz" timestamp="1665197396"&gt;50&lt;/key&gt;&lt;/foreign-keys&gt;&lt;ref-type name="Journal Article"&gt;17&lt;/ref-type&gt;&lt;contributors&gt;&lt;authors&gt;&lt;author&gt;Aibinu, AA&lt;/author&gt;&lt;author&gt;Jagboro, GO&lt;/author&gt;&lt;/authors&gt;&lt;/contributors&gt;&lt;titles&gt;&lt;title&gt;The effects of construction delays on project delivery in Nigerian construction industry&lt;/title&gt;&lt;secondary-title&gt;International journal of project management&lt;/secondary-title&gt;&lt;/titles&gt;&lt;periodical&gt;&lt;full-title&gt;International journal of project management&lt;/full-title&gt;&lt;/periodical&gt;&lt;pages&gt;593-599&lt;/pages&gt;&lt;volume&gt;20&lt;/volume&gt;&lt;number&gt;8&lt;/number&gt;&lt;dates&gt;&lt;year&gt;2002&lt;/year&gt;&lt;/dates&gt;&lt;isbn&gt;0263-7863&lt;/isbn&gt;&lt;urls&gt;&lt;/urls&gt;&lt;/record&gt;&lt;/Cite&gt;&lt;/EndNote&gt;</w:instrText>
            </w:r>
            <w:r>
              <w:rPr>
                <w:rFonts w:asciiTheme="majorBidi" w:hAnsiTheme="majorBidi" w:cstheme="majorBidi"/>
                <w:sz w:val="18"/>
                <w:szCs w:val="18"/>
              </w:rPr>
              <w:fldChar w:fldCharType="separate"/>
            </w:r>
            <w:r>
              <w:rPr>
                <w:rFonts w:asciiTheme="majorBidi" w:hAnsiTheme="majorBidi" w:cstheme="majorBidi"/>
                <w:sz w:val="18"/>
                <w:szCs w:val="18"/>
              </w:rPr>
              <w:t>(</w:t>
            </w:r>
            <w:hyperlink w:anchor="_ENREF_2" w:tooltip="Aibinu, 2002 #50" w:history="1">
              <w:r>
                <w:rPr>
                  <w:rFonts w:asciiTheme="majorBidi" w:hAnsiTheme="majorBidi" w:cstheme="majorBidi"/>
                  <w:sz w:val="18"/>
                  <w:szCs w:val="18"/>
                </w:rPr>
                <w:t>Aibinu &amp; Jagboro, 2002</w:t>
              </w:r>
            </w:hyperlink>
            <w:r>
              <w:rPr>
                <w:rFonts w:asciiTheme="majorBidi" w:hAnsiTheme="majorBidi" w:cstheme="majorBidi"/>
                <w:sz w:val="18"/>
                <w:szCs w:val="18"/>
              </w:rPr>
              <w:t>)</w:t>
            </w:r>
            <w:r>
              <w:rPr>
                <w:rFonts w:asciiTheme="majorBidi" w:hAnsiTheme="majorBidi" w:cstheme="majorBidi"/>
                <w:sz w:val="18"/>
                <w:szCs w:val="18"/>
              </w:rPr>
              <w:fldChar w:fldCharType="end"/>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4.12</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Poor managerial skills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4.13</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Absence of Safety actions for labors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4.14</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Unproductive outcomes of testing equipment</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lastRenderedPageBreak/>
              <w:t>4.15</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Financial indiscipline/dishonesty</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single" w:sz="4" w:space="0" w:color="auto"/>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4.16</w:t>
            </w:r>
          </w:p>
        </w:tc>
        <w:tc>
          <w:tcPr>
            <w:tcW w:w="2719" w:type="pct"/>
            <w:tcBorders>
              <w:top w:val="nil"/>
              <w:left w:val="nil"/>
              <w:bottom w:val="single" w:sz="4" w:space="0" w:color="auto"/>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Selection of incompetent contractors</w:t>
            </w:r>
          </w:p>
        </w:tc>
        <w:tc>
          <w:tcPr>
            <w:tcW w:w="1890" w:type="pct"/>
            <w:tcBorders>
              <w:top w:val="nil"/>
              <w:left w:val="nil"/>
              <w:bottom w:val="single" w:sz="4" w:space="0" w:color="auto"/>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rPr>
          <w:trHeight w:val="207"/>
        </w:trPr>
        <w:tc>
          <w:tcPr>
            <w:tcW w:w="5000" w:type="pct"/>
            <w:gridSpan w:val="3"/>
            <w:tcBorders>
              <w:top w:val="single" w:sz="4" w:space="0" w:color="auto"/>
              <w:left w:val="nil"/>
              <w:bottom w:val="single" w:sz="4" w:space="0" w:color="auto"/>
              <w:right w:val="nil"/>
            </w:tcBorders>
          </w:tcPr>
          <w:p w:rsidR="00CF1981" w:rsidRDefault="00CF1981" w:rsidP="00BB71D6">
            <w:pPr>
              <w:pStyle w:val="ListParagraph"/>
              <w:widowControl/>
              <w:numPr>
                <w:ilvl w:val="0"/>
                <w:numId w:val="3"/>
              </w:numPr>
              <w:wordWrap/>
              <w:autoSpaceDE/>
              <w:autoSpaceDN/>
              <w:spacing w:line="240" w:lineRule="auto"/>
              <w:rPr>
                <w:rFonts w:asciiTheme="majorBidi" w:hAnsiTheme="majorBidi" w:cstheme="majorBidi"/>
                <w:b/>
                <w:bCs/>
                <w:sz w:val="18"/>
                <w:szCs w:val="18"/>
              </w:rPr>
            </w:pPr>
            <w:r>
              <w:rPr>
                <w:rFonts w:asciiTheme="majorBidi" w:eastAsia="Times New Roman" w:hAnsiTheme="majorBidi" w:cstheme="majorBidi"/>
                <w:b/>
                <w:bCs/>
                <w:sz w:val="18"/>
                <w:szCs w:val="18"/>
              </w:rPr>
              <w:t>Material (MA) Related Factors</w:t>
            </w:r>
          </w:p>
        </w:tc>
      </w:tr>
      <w:tr w:rsidR="00CF1981" w:rsidTr="00BB71D6">
        <w:trPr>
          <w:trHeight w:val="153"/>
        </w:trPr>
        <w:tc>
          <w:tcPr>
            <w:tcW w:w="391" w:type="pct"/>
            <w:tcBorders>
              <w:top w:val="single" w:sz="4" w:space="0" w:color="auto"/>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5.1</w:t>
            </w:r>
          </w:p>
        </w:tc>
        <w:tc>
          <w:tcPr>
            <w:tcW w:w="2719" w:type="pct"/>
            <w:tcBorders>
              <w:top w:val="single" w:sz="4" w:space="0" w:color="auto"/>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Scarcity of already approved materials</w:t>
            </w:r>
          </w:p>
        </w:tc>
        <w:tc>
          <w:tcPr>
            <w:tcW w:w="1890" w:type="pct"/>
            <w:tcBorders>
              <w:top w:val="single" w:sz="4" w:space="0" w:color="auto"/>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5.2</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Client requirements for special materials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rPr>
          <w:trHeight w:val="274"/>
        </w:trPr>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5.3</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Lack of locally approved material at the project sites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5.4</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Causing delays in material delivery</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5.5</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Site materials test failure</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single" w:sz="4" w:space="0" w:color="auto"/>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5.6</w:t>
            </w:r>
          </w:p>
        </w:tc>
        <w:tc>
          <w:tcPr>
            <w:tcW w:w="2719" w:type="pct"/>
            <w:tcBorders>
              <w:top w:val="nil"/>
              <w:left w:val="nil"/>
              <w:bottom w:val="single" w:sz="4" w:space="0" w:color="auto"/>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Variations in material prices</w:t>
            </w:r>
          </w:p>
        </w:tc>
        <w:tc>
          <w:tcPr>
            <w:tcW w:w="1890" w:type="pct"/>
            <w:tcBorders>
              <w:top w:val="nil"/>
              <w:left w:val="nil"/>
              <w:bottom w:val="single" w:sz="4" w:space="0" w:color="auto"/>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rPr>
          <w:trHeight w:val="258"/>
        </w:trPr>
        <w:tc>
          <w:tcPr>
            <w:tcW w:w="5000" w:type="pct"/>
            <w:gridSpan w:val="3"/>
            <w:tcBorders>
              <w:top w:val="single" w:sz="4" w:space="0" w:color="auto"/>
              <w:left w:val="nil"/>
              <w:bottom w:val="single" w:sz="4" w:space="0" w:color="auto"/>
              <w:right w:val="nil"/>
            </w:tcBorders>
          </w:tcPr>
          <w:p w:rsidR="00CF1981" w:rsidRDefault="00CF1981" w:rsidP="00BB71D6">
            <w:pPr>
              <w:pStyle w:val="ListParagraph"/>
              <w:widowControl/>
              <w:numPr>
                <w:ilvl w:val="0"/>
                <w:numId w:val="3"/>
              </w:numPr>
              <w:wordWrap/>
              <w:autoSpaceDE/>
              <w:autoSpaceDN/>
              <w:spacing w:line="240" w:lineRule="auto"/>
              <w:rPr>
                <w:rFonts w:asciiTheme="majorBidi" w:hAnsiTheme="majorBidi" w:cstheme="majorBidi"/>
                <w:b/>
                <w:bCs/>
                <w:sz w:val="18"/>
                <w:szCs w:val="18"/>
              </w:rPr>
            </w:pPr>
            <w:r>
              <w:rPr>
                <w:rFonts w:asciiTheme="majorBidi" w:eastAsia="Times New Roman" w:hAnsiTheme="majorBidi" w:cstheme="majorBidi"/>
                <w:b/>
                <w:bCs/>
                <w:sz w:val="18"/>
                <w:szCs w:val="18"/>
              </w:rPr>
              <w:t>External (EX) Related Factors</w:t>
            </w:r>
          </w:p>
        </w:tc>
      </w:tr>
      <w:tr w:rsidR="00CF1981" w:rsidTr="00BB71D6">
        <w:tc>
          <w:tcPr>
            <w:tcW w:w="391" w:type="pct"/>
            <w:tcBorders>
              <w:top w:val="single" w:sz="4" w:space="0" w:color="auto"/>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6.1</w:t>
            </w:r>
          </w:p>
        </w:tc>
        <w:tc>
          <w:tcPr>
            <w:tcW w:w="2719" w:type="pct"/>
            <w:tcBorders>
              <w:top w:val="single" w:sz="4" w:space="0" w:color="auto"/>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Political/bureaucratic impediments</w:t>
            </w:r>
          </w:p>
        </w:tc>
        <w:tc>
          <w:tcPr>
            <w:tcW w:w="1890" w:type="pct"/>
            <w:tcBorders>
              <w:top w:val="single" w:sz="4" w:space="0" w:color="auto"/>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6.2</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Unreliable suppliers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fldChar w:fldCharType="begin"/>
            </w:r>
            <w:r>
              <w:rPr>
                <w:rFonts w:asciiTheme="majorBidi" w:hAnsiTheme="majorBidi" w:cstheme="majorBidi"/>
                <w:sz w:val="18"/>
                <w:szCs w:val="18"/>
              </w:rPr>
              <w:instrText xml:space="preserve"> ADDIN EN.CITE &lt;EndNote&gt;&lt;Cite&gt;&lt;Author&gt;Sambasivan&lt;/Author&gt;&lt;Year&gt;2007&lt;/Year&gt;&lt;RecNum&gt;51&lt;/RecNum&gt;&lt;DisplayText&gt;(Sambasivan &amp;amp; Soon, 2007)&lt;/DisplayText&gt;&lt;record&gt;&lt;rec-number&gt;51&lt;/rec-number&gt;&lt;foreign-keys&gt;&lt;key app="EN" db-id="vfxaxssab220zke05fbvp0atztvft95dwrpz" timestamp="1665197456"&gt;51&lt;/key&gt;&lt;/foreign-keys&gt;&lt;ref-type name="Journal Article"&gt;17&lt;/ref-type&gt;&lt;contributors&gt;&lt;authors&gt;&lt;author&gt;Sambasivan, Murali&lt;/author&gt;&lt;author&gt;Soon, Yau Wen&lt;/author&gt;&lt;/authors&gt;&lt;/contributors&gt;&lt;titles&gt;&lt;title&gt;Causes and effects of delays in Malaysian construction industry&lt;/title&gt;&lt;secondary-title&gt;International Journal of project management&lt;/secondary-title&gt;&lt;/titles&gt;&lt;periodical&gt;&lt;full-title&gt;International journal of project management&lt;/full-title&gt;&lt;/periodical&gt;&lt;pages&gt;517-526&lt;/pages&gt;&lt;volume&gt;25&lt;/volume&gt;&lt;number&gt;5&lt;/number&gt;&lt;dates&gt;&lt;year&gt;2007&lt;/year&gt;&lt;/dates&gt;&lt;isbn&gt;0263-7863&lt;/isbn&gt;&lt;urls&gt;&lt;/urls&gt;&lt;/record&gt;&lt;/Cite&gt;&lt;/EndNote&gt;</w:instrText>
            </w:r>
            <w:r>
              <w:rPr>
                <w:rFonts w:asciiTheme="majorBidi" w:hAnsiTheme="majorBidi" w:cstheme="majorBidi"/>
                <w:sz w:val="18"/>
                <w:szCs w:val="18"/>
              </w:rPr>
              <w:fldChar w:fldCharType="separate"/>
            </w:r>
            <w:r>
              <w:rPr>
                <w:rFonts w:asciiTheme="majorBidi" w:hAnsiTheme="majorBidi" w:cstheme="majorBidi"/>
                <w:sz w:val="18"/>
                <w:szCs w:val="18"/>
              </w:rPr>
              <w:t>(</w:t>
            </w:r>
            <w:hyperlink w:anchor="_ENREF_19" w:tooltip="Sambasivan, 2007 #51" w:history="1">
              <w:r>
                <w:rPr>
                  <w:rFonts w:asciiTheme="majorBidi" w:hAnsiTheme="majorBidi" w:cstheme="majorBidi"/>
                  <w:sz w:val="18"/>
                  <w:szCs w:val="18"/>
                </w:rPr>
                <w:t>Sambasivan &amp; Soon, 2007</w:t>
              </w:r>
            </w:hyperlink>
            <w:r>
              <w:rPr>
                <w:rFonts w:asciiTheme="majorBidi" w:hAnsiTheme="majorBidi" w:cstheme="majorBidi"/>
                <w:sz w:val="18"/>
                <w:szCs w:val="18"/>
              </w:rPr>
              <w:t>)</w:t>
            </w:r>
            <w:r>
              <w:rPr>
                <w:rFonts w:asciiTheme="majorBidi" w:hAnsiTheme="majorBidi" w:cstheme="majorBidi"/>
                <w:sz w:val="18"/>
                <w:szCs w:val="18"/>
              </w:rPr>
              <w:fldChar w:fldCharType="end"/>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6.3</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Public interference</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fldChar w:fldCharType="begin"/>
            </w:r>
            <w:r>
              <w:rPr>
                <w:rFonts w:asciiTheme="majorBidi" w:hAnsiTheme="majorBidi" w:cstheme="majorBidi"/>
                <w:sz w:val="18"/>
                <w:szCs w:val="18"/>
              </w:rPr>
              <w:instrText xml:space="preserve"> ADDIN EN.CITE &lt;EndNote&gt;&lt;Cite&gt;&lt;Author&gt;Doloi&lt;/Author&gt;&lt;Year&gt;2012&lt;/Year&gt;&lt;RecNum&gt;53&lt;/RecNum&gt;&lt;DisplayText&gt;(Doloi, Sawhney, Iyer, &amp;amp; Rentala, 2012)&lt;/DisplayText&gt;&lt;record&gt;&lt;rec-number&gt;53&lt;/rec-number&gt;&lt;foreign-keys&gt;&lt;key app="EN" db-id="vfxaxssab220zke05fbvp0atztvft95dwrpz" timestamp="1665197608"&gt;53&lt;/key&gt;&lt;/foreign-keys&gt;&lt;ref-type name="Journal Article"&gt;17&lt;/ref-type&gt;&lt;contributors&gt;&lt;authors&gt;&lt;author&gt;Doloi, Hemanta&lt;/author&gt;&lt;author&gt;Sawhney, Anil&lt;/author&gt;&lt;author&gt;Iyer, KC&lt;/author&gt;&lt;author&gt;Rentala, Sameer&lt;/author&gt;&lt;/authors&gt;&lt;/contributors&gt;&lt;titles&gt;&lt;title&gt;Analysing factors affecting delays in Indian construction projects&lt;/title&gt;&lt;secondary-title&gt;International journal of project management&lt;/secondary-title&gt;&lt;/titles&gt;&lt;periodical&gt;&lt;full-title&gt;International journal of project management&lt;/full-title&gt;&lt;/periodical&gt;&lt;pages&gt;479-489&lt;/pages&gt;&lt;volume&gt;30&lt;/volume&gt;&lt;number&gt;4&lt;/number&gt;&lt;dates&gt;&lt;year&gt;2012&lt;/year&gt;&lt;/dates&gt;&lt;isbn&gt;0263-7863&lt;/isbn&gt;&lt;urls&gt;&lt;/urls&gt;&lt;/record&gt;&lt;/Cite&gt;&lt;/EndNote&gt;</w:instrText>
            </w:r>
            <w:r>
              <w:rPr>
                <w:rFonts w:asciiTheme="majorBidi" w:hAnsiTheme="majorBidi" w:cstheme="majorBidi"/>
                <w:sz w:val="18"/>
                <w:szCs w:val="18"/>
              </w:rPr>
              <w:fldChar w:fldCharType="separate"/>
            </w:r>
            <w:r>
              <w:rPr>
                <w:rFonts w:asciiTheme="majorBidi" w:hAnsiTheme="majorBidi" w:cstheme="majorBidi"/>
                <w:sz w:val="18"/>
                <w:szCs w:val="18"/>
              </w:rPr>
              <w:t>(</w:t>
            </w:r>
            <w:hyperlink w:anchor="_ENREF_6" w:tooltip="Doloi, 2012 #53" w:history="1">
              <w:r>
                <w:rPr>
                  <w:rFonts w:asciiTheme="majorBidi" w:hAnsiTheme="majorBidi" w:cstheme="majorBidi"/>
                  <w:sz w:val="18"/>
                  <w:szCs w:val="18"/>
                </w:rPr>
                <w:t>Doloi et al., 2012</w:t>
              </w:r>
            </w:hyperlink>
            <w:r>
              <w:rPr>
                <w:rFonts w:asciiTheme="majorBidi" w:hAnsiTheme="majorBidi" w:cstheme="majorBidi"/>
                <w:sz w:val="18"/>
                <w:szCs w:val="18"/>
              </w:rPr>
              <w:t>)</w:t>
            </w:r>
            <w:r>
              <w:rPr>
                <w:rFonts w:asciiTheme="majorBidi" w:hAnsiTheme="majorBidi" w:cstheme="majorBidi"/>
                <w:sz w:val="18"/>
                <w:szCs w:val="18"/>
              </w:rPr>
              <w:fldChar w:fldCharType="end"/>
            </w:r>
          </w:p>
        </w:tc>
      </w:tr>
      <w:tr w:rsidR="00CF1981" w:rsidTr="00BB71D6">
        <w:trPr>
          <w:trHeight w:val="194"/>
        </w:trPr>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6.4</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Terrorism/militancy  </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(Establish through interviews)</w:t>
            </w:r>
          </w:p>
        </w:tc>
      </w:tr>
      <w:tr w:rsidR="00CF1981" w:rsidTr="00BB71D6">
        <w:trPr>
          <w:trHeight w:val="274"/>
        </w:trPr>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6.5</w:t>
            </w:r>
          </w:p>
          <w:p w:rsidR="00CF1981" w:rsidRDefault="00CF1981" w:rsidP="00BB71D6">
            <w:pPr>
              <w:wordWrap/>
              <w:spacing w:line="240" w:lineRule="auto"/>
              <w:rPr>
                <w:rFonts w:asciiTheme="majorBidi" w:hAnsiTheme="majorBidi" w:cstheme="majorBidi"/>
                <w:sz w:val="18"/>
                <w:szCs w:val="18"/>
              </w:rPr>
            </w:pP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Natural Disaster </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fldChar w:fldCharType="begin"/>
            </w:r>
            <w:r>
              <w:rPr>
                <w:rFonts w:asciiTheme="majorBidi" w:hAnsiTheme="majorBidi" w:cstheme="majorBidi"/>
                <w:sz w:val="18"/>
                <w:szCs w:val="18"/>
              </w:rPr>
              <w:instrText xml:space="preserve"> ADDIN EN.CITE &lt;EndNote&gt;&lt;Cite&gt;&lt;Author&gt;Hwang&lt;/Author&gt;&lt;Year&gt;2013&lt;/Year&gt;&lt;RecNum&gt;52&lt;/RecNum&gt;&lt;DisplayText&gt;(Hwang, Zhao, &amp;amp; Ng, 2013)&lt;/DisplayText&gt;&lt;record&gt;&lt;rec-number&gt;52&lt;/rec-number&gt;&lt;foreign-keys&gt;&lt;key app="EN" db-id="vfxaxssab220zke05fbvp0atztvft95dwrpz" timestamp="1665197515"&gt;52&lt;/key&gt;&lt;/foreign-keys&gt;&lt;ref-type name="Journal Article"&gt;17&lt;/ref-type&gt;&lt;contributors&gt;&lt;authors&gt;&lt;author&gt;Hwang, Bon-Gang&lt;/author&gt;&lt;author&gt;Zhao, Xianbo&lt;/author&gt;&lt;author&gt;Ng, Si Yi&lt;/author&gt;&lt;/authors&gt;&lt;/contributors&gt;&lt;titles&gt;&lt;title&gt;Identifying the critical factors affecting schedule performance of public housing projects&lt;/title&gt;&lt;secondary-title&gt;Habitat International&lt;/secondary-title&gt;&lt;/titles&gt;&lt;periodical&gt;&lt;full-title&gt;Habitat International&lt;/full-title&gt;&lt;/periodical&gt;&lt;pages&gt;214-221&lt;/pages&gt;&lt;volume&gt;38&lt;/volume&gt;&lt;dates&gt;&lt;year&gt;2013&lt;/year&gt;&lt;/dates&gt;&lt;isbn&gt;0197-3975&lt;/isbn&gt;&lt;urls&gt;&lt;/urls&gt;&lt;/record&gt;&lt;/Cite&gt;&lt;/EndNote&gt;</w:instrText>
            </w:r>
            <w:r>
              <w:rPr>
                <w:rFonts w:asciiTheme="majorBidi" w:hAnsiTheme="majorBidi" w:cstheme="majorBidi"/>
                <w:sz w:val="18"/>
                <w:szCs w:val="18"/>
              </w:rPr>
              <w:fldChar w:fldCharType="separate"/>
            </w:r>
            <w:r>
              <w:rPr>
                <w:rFonts w:asciiTheme="majorBidi" w:hAnsiTheme="majorBidi" w:cstheme="majorBidi"/>
                <w:sz w:val="18"/>
                <w:szCs w:val="18"/>
              </w:rPr>
              <w:t>(</w:t>
            </w:r>
            <w:hyperlink w:anchor="_ENREF_11" w:tooltip="Hwang, 2013 #52" w:history="1">
              <w:r>
                <w:rPr>
                  <w:rFonts w:asciiTheme="majorBidi" w:hAnsiTheme="majorBidi" w:cstheme="majorBidi"/>
                  <w:sz w:val="18"/>
                  <w:szCs w:val="18"/>
                </w:rPr>
                <w:t>Hwang et al., 2013</w:t>
              </w:r>
            </w:hyperlink>
            <w:r>
              <w:rPr>
                <w:rFonts w:asciiTheme="majorBidi" w:hAnsiTheme="majorBidi" w:cstheme="majorBidi"/>
                <w:sz w:val="18"/>
                <w:szCs w:val="18"/>
              </w:rPr>
              <w:t>)</w:t>
            </w:r>
            <w:r>
              <w:rPr>
                <w:rFonts w:asciiTheme="majorBidi" w:hAnsiTheme="majorBidi" w:cstheme="majorBidi"/>
                <w:sz w:val="18"/>
                <w:szCs w:val="18"/>
              </w:rPr>
              <w:fldChar w:fldCharType="end"/>
            </w:r>
          </w:p>
        </w:tc>
      </w:tr>
      <w:tr w:rsidR="00CF1981" w:rsidTr="00BB71D6">
        <w:tc>
          <w:tcPr>
            <w:tcW w:w="391"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t>6.6</w:t>
            </w:r>
          </w:p>
        </w:tc>
        <w:tc>
          <w:tcPr>
            <w:tcW w:w="2719" w:type="pct"/>
            <w:tcBorders>
              <w:top w:val="nil"/>
              <w:left w:val="nil"/>
              <w:bottom w:val="nil"/>
              <w:right w:val="nil"/>
            </w:tcBorders>
            <w:vAlign w:val="center"/>
          </w:tcPr>
          <w:p w:rsidR="00CF1981" w:rsidRDefault="00CF1981" w:rsidP="00BB71D6">
            <w:pPr>
              <w:wordWrap/>
              <w:spacing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Unfavorable weather conditions</w:t>
            </w:r>
          </w:p>
        </w:tc>
        <w:tc>
          <w:tcPr>
            <w:tcW w:w="1890" w:type="pct"/>
            <w:tcBorders>
              <w:top w:val="nil"/>
              <w:left w:val="nil"/>
              <w:bottom w:val="nil"/>
              <w:right w:val="nil"/>
            </w:tcBorders>
          </w:tcPr>
          <w:p w:rsidR="00CF1981" w:rsidRDefault="00CF1981" w:rsidP="00BB71D6">
            <w:pPr>
              <w:wordWrap/>
              <w:spacing w:line="240" w:lineRule="auto"/>
              <w:rPr>
                <w:rFonts w:asciiTheme="majorBidi" w:hAnsiTheme="majorBidi" w:cstheme="majorBidi"/>
                <w:sz w:val="18"/>
                <w:szCs w:val="18"/>
              </w:rPr>
            </w:pPr>
            <w:r>
              <w:rPr>
                <w:rFonts w:asciiTheme="majorBidi" w:hAnsiTheme="majorBidi" w:cstheme="majorBidi"/>
                <w:sz w:val="18"/>
                <w:szCs w:val="18"/>
              </w:rPr>
              <w:fldChar w:fldCharType="begin"/>
            </w:r>
            <w:r>
              <w:rPr>
                <w:rFonts w:asciiTheme="majorBidi" w:hAnsiTheme="majorBidi" w:cstheme="majorBidi"/>
                <w:sz w:val="18"/>
                <w:szCs w:val="18"/>
              </w:rPr>
              <w:instrText xml:space="preserve"> ADDIN EN.CITE &lt;EndNote&gt;&lt;Cite&gt;&lt;Author&gt;Olawale&lt;/Author&gt;&lt;Year&gt;2013&lt;/Year&gt;&lt;RecNum&gt;54&lt;/RecNum&gt;&lt;DisplayText&gt;(Olawale &amp;amp; Sun, 2013)&lt;/DisplayText&gt;&lt;record&gt;&lt;rec-number&gt;54&lt;/rec-number&gt;&lt;foreign-keys&gt;&lt;key app="EN" db-id="vfxaxssab220zke05fbvp0atztvft95dwrpz" timestamp="1665197686"&gt;54&lt;/key&gt;&lt;/foreign-keys&gt;&lt;ref-type name="Journal Article"&gt;17&lt;/ref-type&gt;&lt;contributors&gt;&lt;authors&gt;&lt;author&gt;Olawale, Yakubu&lt;/author&gt;&lt;author&gt;Sun, Ming&lt;/author&gt;&lt;/authors&gt;&lt;/contributors&gt;&lt;titles&gt;&lt;title&gt;PCIM: Project control and inhibiting-factors management model&lt;/title&gt;&lt;secondary-title&gt;Journal of management in engineering&lt;/secondary-title&gt;&lt;/titles&gt;&lt;periodical&gt;&lt;full-title&gt;Journal of management in engineering&lt;/full-title&gt;&lt;/periodical&gt;&lt;pages&gt;60-70&lt;/pages&gt;&lt;volume&gt;29&lt;/volume&gt;&lt;number&gt;1&lt;/number&gt;&lt;dates&gt;&lt;year&gt;2013&lt;/year&gt;&lt;/dates&gt;&lt;isbn&gt;0742-597X&lt;/isbn&gt;&lt;urls&gt;&lt;/urls&gt;&lt;/record&gt;&lt;/Cite&gt;&lt;/EndNote&gt;</w:instrText>
            </w:r>
            <w:r>
              <w:rPr>
                <w:rFonts w:asciiTheme="majorBidi" w:hAnsiTheme="majorBidi" w:cstheme="majorBidi"/>
                <w:sz w:val="18"/>
                <w:szCs w:val="18"/>
              </w:rPr>
              <w:fldChar w:fldCharType="separate"/>
            </w:r>
            <w:r>
              <w:rPr>
                <w:rFonts w:asciiTheme="majorBidi" w:hAnsiTheme="majorBidi" w:cstheme="majorBidi"/>
                <w:sz w:val="18"/>
                <w:szCs w:val="18"/>
              </w:rPr>
              <w:t>(</w:t>
            </w:r>
            <w:hyperlink w:anchor="_ENREF_17" w:tooltip="Olawale, 2013 #54" w:history="1">
              <w:r>
                <w:rPr>
                  <w:rFonts w:asciiTheme="majorBidi" w:hAnsiTheme="majorBidi" w:cstheme="majorBidi"/>
                  <w:sz w:val="18"/>
                  <w:szCs w:val="18"/>
                </w:rPr>
                <w:t>Olawale &amp; Sun, 2013</w:t>
              </w:r>
            </w:hyperlink>
            <w:r>
              <w:rPr>
                <w:rFonts w:asciiTheme="majorBidi" w:hAnsiTheme="majorBidi" w:cstheme="majorBidi"/>
                <w:sz w:val="18"/>
                <w:szCs w:val="18"/>
              </w:rPr>
              <w:t>)</w:t>
            </w:r>
            <w:r>
              <w:rPr>
                <w:rFonts w:asciiTheme="majorBidi" w:hAnsiTheme="majorBidi" w:cstheme="majorBidi"/>
                <w:sz w:val="18"/>
                <w:szCs w:val="18"/>
              </w:rPr>
              <w:fldChar w:fldCharType="end"/>
            </w:r>
          </w:p>
        </w:tc>
      </w:tr>
    </w:tbl>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
          <w:kern w:val="0"/>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bookmarkStart w:id="2" w:name="_Toc513056890"/>
      <w:r>
        <w:rPr>
          <w:rFonts w:asciiTheme="majorBidi" w:eastAsia="HYSinMyeongJo-Medium" w:hAnsiTheme="majorBidi" w:cstheme="majorBidi"/>
          <w:sz w:val="22"/>
          <w:shd w:val="clear" w:color="auto" w:fill="FFFFFF"/>
        </w:rPr>
        <w:tab/>
        <w:t>The inhabitants of the research study are 18 public universities in Khyber Pakhtunkhwa. The results shall be obtained from factors sample statistics that were generalized as per the target population.</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The sample size for the research study was designed on the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&lt;EndNote&gt;&lt;Cite&gt;&lt;Author&gt;Krejcie&lt;/Author&gt;&lt;Year&gt;1970&lt;/Year&gt;&lt;RecNum&gt;55&lt;/RecNum&gt;&lt;DisplayText&gt;(Krejcie &amp;amp; Morgan, 1970)&lt;/DisplayText&gt;&lt;record&gt;&lt;rec-number&gt;55&lt;/rec-number&gt;&lt;foreign-keys&gt;&lt;key app="EN" db-id="vfxaxssab220zke05fbvp0atztvft95dwrpz" timestamp="1665198141"&gt;55&lt;/key&gt;&lt;/foreign-keys&gt;&lt;ref-type name="Journal Article"&gt;17&lt;/ref-type&gt;&lt;contributors&gt;&lt;authors&gt;&lt;author&gt;Krejcie, Robert V&lt;/author&gt;&lt;author&gt;Morgan, Daryle W&lt;/author&gt;&lt;/authors&gt;&lt;/contributors&gt;&lt;titles&gt;&lt;title&gt;Determining sample size for research activities&lt;/title&gt;&lt;secondary-title&gt;Educational and psychological measurement&lt;/secondary-title&gt;&lt;/titles&gt;&lt;periodical&gt;&lt;full-title&gt;Educational and psychological measurement&lt;/full-title&gt;&lt;/periodical&gt;&lt;pages&gt;607-610&lt;/pages&gt;&lt;volume&gt;30&lt;/volume&gt;&lt;number&gt;3&lt;/number&gt;&lt;dates&gt;&lt;year&gt;1970&lt;/year&gt;&lt;/dates&gt;&lt;isbn&gt;0013-1644&lt;/isbn&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w:t>
      </w:r>
      <w:hyperlink w:anchor="_ENREF_15" w:tooltip="Krejcie, 1970 #55" w:history="1">
        <w:r>
          <w:rPr>
            <w:rFonts w:asciiTheme="majorBidi" w:eastAsia="HYSinMyeongJo-Medium" w:hAnsiTheme="majorBidi" w:cstheme="majorBidi"/>
            <w:sz w:val="22"/>
            <w:shd w:val="clear" w:color="auto" w:fill="FFFFFF"/>
          </w:rPr>
          <w:t>Krejcie &amp; Morgan, 1970</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formula. A sampling design was used for the selection of respondents. The sample size stood at 153 respondents from 18 public universities. The sample size was designed using equations (1) and (2).</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
          <w:bCs/>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bCs/>
          <w:sz w:val="22"/>
          <w:shd w:val="clear" w:color="auto" w:fill="FFFFFF"/>
        </w:rPr>
        <w:t xml:space="preserve">              </w:t>
      </w:r>
      <m:oMath>
        <m:r>
          <w:rPr>
            <w:rFonts w:ascii="Cambria Math" w:eastAsia="HYSinMyeongJo-Medium" w:hAnsi="Cambria Math" w:cstheme="majorBidi"/>
            <w:sz w:val="22"/>
            <w:shd w:val="clear" w:color="auto" w:fill="FFFFFF"/>
          </w:rPr>
          <m:t>X=</m:t>
        </m:r>
        <m:sSup>
          <m:sSupPr>
            <m:ctrlPr>
              <w:rPr>
                <w:rFonts w:ascii="Cambria Math" w:eastAsia="HYSinMyeongJo-Medium" w:hAnsi="Cambria Math" w:cstheme="majorBidi"/>
                <w:bCs/>
                <w:sz w:val="22"/>
                <w:shd w:val="clear" w:color="auto" w:fill="FFFFFF"/>
              </w:rPr>
            </m:ctrlPr>
          </m:sSupPr>
          <m:e>
            <m:r>
              <w:rPr>
                <w:rFonts w:ascii="Cambria Math" w:eastAsia="HYSinMyeongJo-Medium" w:hAnsi="Cambria Math" w:cstheme="majorBidi"/>
                <w:sz w:val="22"/>
                <w:shd w:val="clear" w:color="auto" w:fill="FFFFFF"/>
              </w:rPr>
              <m:t>Z</m:t>
            </m:r>
          </m:e>
          <m:sup>
            <m:r>
              <w:rPr>
                <w:rFonts w:ascii="Cambria Math" w:eastAsia="HYSinMyeongJo-Medium" w:hAnsi="Cambria Math" w:cstheme="majorBidi"/>
                <w:sz w:val="22"/>
                <w:shd w:val="clear" w:color="auto" w:fill="FFFFFF"/>
              </w:rPr>
              <m:t>2</m:t>
            </m:r>
          </m:sup>
        </m:sSup>
        <m:r>
          <w:rPr>
            <w:rFonts w:ascii="Cambria Math" w:eastAsia="HYSinMyeongJo-Medium" w:hAnsi="Cambria Math" w:cstheme="majorBidi"/>
            <w:sz w:val="22"/>
            <w:shd w:val="clear" w:color="auto" w:fill="FFFFFF"/>
          </w:rPr>
          <m:t xml:space="preserve">x π x (1-π) </m:t>
        </m:r>
      </m:oMath>
      <w:r>
        <w:rPr>
          <w:rFonts w:asciiTheme="majorBidi" w:eastAsia="HYSinMyeongJo-Medium" w:hAnsiTheme="majorBidi" w:cstheme="majorBidi"/>
          <w:b/>
          <w:bCs/>
          <w:sz w:val="22"/>
          <w:shd w:val="clear" w:color="auto" w:fill="FFFFFF"/>
        </w:rPr>
        <w:t>------------ (1)</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i/>
          <w:iCs/>
          <w:sz w:val="22"/>
          <w:shd w:val="clear" w:color="auto" w:fill="FFFFFF"/>
          <w:vertAlign w:val="superscript"/>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i/>
          <w:iCs/>
          <w:sz w:val="22"/>
          <w:shd w:val="clear" w:color="auto" w:fill="FFFFFF"/>
          <w:vertAlign w:val="superscript"/>
        </w:rPr>
        <w:t xml:space="preserve"> </w:t>
      </w:r>
      <w:r>
        <w:rPr>
          <w:rFonts w:asciiTheme="majorBidi" w:eastAsia="HYSinMyeongJo-Medium" w:hAnsiTheme="majorBidi" w:cstheme="majorBidi"/>
          <w:sz w:val="22"/>
          <w:shd w:val="clear" w:color="auto" w:fill="FFFFFF"/>
        </w:rPr>
        <w:t xml:space="preserve">                  </w:t>
      </w:r>
      <m:oMath>
        <m:r>
          <w:rPr>
            <w:rFonts w:ascii="Cambria Math" w:eastAsia="HYSinMyeongJo-Medium" w:hAnsi="Cambria Math" w:cstheme="majorBidi"/>
            <w:sz w:val="22"/>
            <w:shd w:val="clear" w:color="auto" w:fill="FFFFFF"/>
          </w:rPr>
          <m:t xml:space="preserve">n= </m:t>
        </m:r>
        <m:f>
          <m:fPr>
            <m:ctrlPr>
              <w:rPr>
                <w:rFonts w:ascii="Cambria Math" w:eastAsia="HYSinMyeongJo-Medium" w:hAnsi="Cambria Math" w:cstheme="majorBidi"/>
                <w:sz w:val="22"/>
                <w:shd w:val="clear" w:color="auto" w:fill="FFFFFF"/>
              </w:rPr>
            </m:ctrlPr>
          </m:fPr>
          <m:num>
            <m:r>
              <w:rPr>
                <w:rFonts w:ascii="Cambria Math" w:eastAsia="HYSinMyeongJo-Medium" w:hAnsi="Cambria Math" w:cstheme="majorBidi"/>
                <w:sz w:val="22"/>
                <w:shd w:val="clear" w:color="auto" w:fill="FFFFFF"/>
              </w:rPr>
              <m:t>NX</m:t>
            </m:r>
          </m:num>
          <m:den>
            <m:r>
              <w:rPr>
                <w:rFonts w:ascii="Cambria Math" w:eastAsia="HYSinMyeongJo-Medium" w:hAnsi="Cambria Math" w:cstheme="majorBidi"/>
                <w:sz w:val="22"/>
                <w:shd w:val="clear" w:color="auto" w:fill="FFFFFF"/>
              </w:rPr>
              <m:t>((N-1) E2+X)</m:t>
            </m:r>
          </m:den>
        </m:f>
      </m:oMath>
      <w:r>
        <w:rPr>
          <w:rFonts w:asciiTheme="majorBidi" w:eastAsia="HYSinMyeongJo-Medium" w:hAnsiTheme="majorBidi" w:cstheme="majorBidi"/>
          <w:sz w:val="22"/>
          <w:shd w:val="clear" w:color="auto" w:fill="FFFFFF"/>
        </w:rPr>
        <w:t xml:space="preserve"> </w:t>
      </w:r>
      <w:r>
        <w:rPr>
          <w:rFonts w:asciiTheme="majorBidi" w:eastAsia="HYSinMyeongJo-Medium" w:hAnsiTheme="majorBidi" w:cstheme="majorBidi"/>
          <w:b/>
          <w:bCs/>
          <w:sz w:val="22"/>
          <w:shd w:val="clear" w:color="auto" w:fill="FFFFFF"/>
        </w:rPr>
        <w:t>-------------- (2)</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 xml:space="preserve">Where Z =1.96 for a 95% confidence interval; </w:t>
      </w:r>
      <w:r>
        <w:rPr>
          <w:rFonts w:asciiTheme="majorBidi" w:eastAsia="HYSinMyeongJo-Medium" w:hAnsiTheme="majorBidi" w:cstheme="majorBidi"/>
          <w:i/>
          <w:iCs/>
          <w:sz w:val="22"/>
          <w:shd w:val="clear" w:color="auto" w:fill="FFFFFF"/>
        </w:rPr>
        <w:t>P</w:t>
      </w:r>
      <w:r>
        <w:rPr>
          <w:rFonts w:asciiTheme="majorBidi" w:eastAsia="HYSinMyeongJo-Medium" w:hAnsiTheme="majorBidi" w:cstheme="majorBidi"/>
          <w:sz w:val="22"/>
          <w:shd w:val="clear" w:color="auto" w:fill="FFFFFF"/>
        </w:rPr>
        <w:t xml:space="preserve"> = 0.50 for n needed; n = sample size; N = population size = 686; and</w:t>
      </w:r>
      <w:r>
        <w:rPr>
          <w:rFonts w:asciiTheme="majorBidi" w:eastAsia="HYSinMyeongJo-Medium" w:hAnsiTheme="majorBidi" w:cstheme="majorBidi"/>
          <w:i/>
          <w:iCs/>
          <w:sz w:val="22"/>
          <w:shd w:val="clear" w:color="auto" w:fill="FFFFFF"/>
        </w:rPr>
        <w:t xml:space="preserve"> E</w:t>
      </w:r>
      <w:r>
        <w:rPr>
          <w:rFonts w:asciiTheme="majorBidi" w:eastAsia="HYSinMyeongJo-Medium" w:hAnsiTheme="majorBidi" w:cstheme="majorBidi"/>
          <w:sz w:val="22"/>
          <w:shd w:val="clear" w:color="auto" w:fill="FFFFFF"/>
        </w:rPr>
        <w:t xml:space="preserve"> = maximum error (0.07). Inputting the required values, the following sample size was estimated: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m:oMathPara>
        <m:oMathParaPr>
          <m:jc m:val="center"/>
        </m:oMathParaPr>
        <m:oMath>
          <m:r>
            <w:rPr>
              <w:rFonts w:ascii="Cambria Math" w:eastAsia="HYSinMyeongJo-Medium" w:hAnsi="Cambria Math" w:cstheme="majorBidi"/>
              <w:sz w:val="22"/>
              <w:shd w:val="clear" w:color="auto" w:fill="FFFFFF"/>
            </w:rPr>
            <m:t xml:space="preserve">     X=</m:t>
          </m:r>
          <m:sSup>
            <m:sSupPr>
              <m:ctrlPr>
                <w:rPr>
                  <w:rFonts w:ascii="Cambria Math" w:eastAsia="HYSinMyeongJo-Medium" w:hAnsi="Cambria Math" w:cstheme="majorBidi"/>
                  <w:sz w:val="22"/>
                  <w:shd w:val="clear" w:color="auto" w:fill="FFFFFF"/>
                </w:rPr>
              </m:ctrlPr>
            </m:sSupPr>
            <m:e>
              <m:r>
                <w:rPr>
                  <w:rFonts w:ascii="Cambria Math" w:eastAsia="HYSinMyeongJo-Medium" w:hAnsi="Cambria Math" w:cstheme="majorBidi"/>
                  <w:sz w:val="22"/>
                  <w:shd w:val="clear" w:color="auto" w:fill="FFFFFF"/>
                </w:rPr>
                <m:t>1.96</m:t>
              </m:r>
            </m:e>
            <m:sup>
              <m:r>
                <w:rPr>
                  <w:rFonts w:ascii="Cambria Math" w:eastAsia="HYSinMyeongJo-Medium" w:hAnsi="Cambria Math" w:cstheme="majorBidi"/>
                  <w:sz w:val="22"/>
                  <w:shd w:val="clear" w:color="auto" w:fill="FFFFFF"/>
                </w:rPr>
                <m:t>2</m:t>
              </m:r>
            </m:sup>
          </m:sSup>
          <m:r>
            <w:rPr>
              <w:rFonts w:ascii="Cambria Math" w:eastAsia="HYSinMyeongJo-Medium" w:hAnsi="Cambria Math" w:cstheme="majorBidi"/>
              <w:sz w:val="22"/>
              <w:shd w:val="clear" w:color="auto" w:fill="FFFFFF"/>
            </w:rPr>
            <m:t xml:space="preserve"> x 0.5 x </m:t>
          </m:r>
          <m:d>
            <m:dPr>
              <m:ctrlPr>
                <w:rPr>
                  <w:rFonts w:ascii="Cambria Math" w:eastAsia="HYSinMyeongJo-Medium" w:hAnsi="Cambria Math" w:cstheme="majorBidi"/>
                  <w:i/>
                  <w:sz w:val="22"/>
                  <w:shd w:val="clear" w:color="auto" w:fill="FFFFFF"/>
                </w:rPr>
              </m:ctrlPr>
            </m:dPr>
            <m:e>
              <m:r>
                <w:rPr>
                  <w:rFonts w:ascii="Cambria Math" w:eastAsia="HYSinMyeongJo-Medium" w:hAnsi="Cambria Math" w:cstheme="majorBidi"/>
                  <w:sz w:val="22"/>
                  <w:shd w:val="clear" w:color="auto" w:fill="FFFFFF"/>
                </w:rPr>
                <m:t>1-0.5</m:t>
              </m:r>
            </m:e>
          </m:d>
          <m:r>
            <w:rPr>
              <w:rFonts w:ascii="Cambria Math" w:eastAsia="HYSinMyeongJo-Medium" w:hAnsi="Cambria Math" w:cstheme="majorBidi"/>
              <w:sz w:val="22"/>
              <w:shd w:val="clear" w:color="auto" w:fill="FFFFFF"/>
            </w:rPr>
            <m:t>=0.9604</m:t>
          </m:r>
        </m:oMath>
      </m:oMathPara>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ind w:left="-180"/>
        <w:textAlignment w:val="baseline"/>
        <w:rPr>
          <w:rFonts w:asciiTheme="majorBidi" w:eastAsia="HYSinMyeongJo-Medium" w:hAnsiTheme="majorBidi" w:cstheme="majorBidi"/>
          <w:sz w:val="22"/>
          <w:shd w:val="clear" w:color="auto" w:fill="FFFFFF"/>
        </w:rPr>
      </w:pPr>
      <m:oMathPara>
        <m:oMath>
          <m:r>
            <w:rPr>
              <w:rFonts w:ascii="Cambria Math" w:eastAsia="HYSinMyeongJo-Medium" w:hAnsi="Cambria Math" w:cstheme="majorBidi"/>
              <w:sz w:val="22"/>
              <w:shd w:val="clear" w:color="auto" w:fill="FFFFFF"/>
            </w:rPr>
            <w:lastRenderedPageBreak/>
            <m:t>n=</m:t>
          </m:r>
          <m:f>
            <m:fPr>
              <m:ctrlPr>
                <w:rPr>
                  <w:rFonts w:ascii="Cambria Math" w:eastAsia="HYSinMyeongJo-Medium" w:hAnsi="Cambria Math" w:cstheme="majorBidi"/>
                  <w:sz w:val="22"/>
                  <w:shd w:val="clear" w:color="auto" w:fill="FFFFFF"/>
                </w:rPr>
              </m:ctrlPr>
            </m:fPr>
            <m:num>
              <m:r>
                <w:rPr>
                  <w:rFonts w:ascii="Cambria Math" w:eastAsia="HYSinMyeongJo-Medium" w:hAnsi="Cambria Math" w:cstheme="majorBidi"/>
                  <w:sz w:val="22"/>
                  <w:shd w:val="clear" w:color="auto" w:fill="FFFFFF"/>
                </w:rPr>
                <m:t>NX</m:t>
              </m:r>
            </m:num>
            <m:den>
              <m:r>
                <w:rPr>
                  <w:rFonts w:ascii="Cambria Math" w:eastAsia="HYSinMyeongJo-Medium" w:hAnsi="Cambria Math" w:cstheme="majorBidi"/>
                  <w:sz w:val="22"/>
                  <w:shd w:val="clear" w:color="auto" w:fill="FFFFFF"/>
                </w:rPr>
                <m:t>((N-1) E2+X)</m:t>
              </m:r>
            </m:den>
          </m:f>
          <m:r>
            <w:rPr>
              <w:rFonts w:ascii="Cambria Math" w:eastAsia="HYSinMyeongJo-Medium" w:hAnsi="Cambria Math" w:cstheme="majorBidi"/>
              <w:sz w:val="22"/>
              <w:shd w:val="clear" w:color="auto" w:fill="FFFFFF"/>
            </w:rPr>
            <m:t>=</m:t>
          </m:r>
          <m:f>
            <m:fPr>
              <m:ctrlPr>
                <w:rPr>
                  <w:rFonts w:ascii="Cambria Math" w:eastAsia="HYSinMyeongJo-Medium" w:hAnsi="Cambria Math" w:cstheme="majorBidi"/>
                  <w:sz w:val="22"/>
                  <w:shd w:val="clear" w:color="auto" w:fill="FFFFFF"/>
                </w:rPr>
              </m:ctrlPr>
            </m:fPr>
            <m:num>
              <m:r>
                <m:rPr>
                  <m:sty m:val="p"/>
                </m:rPr>
                <w:rPr>
                  <w:rFonts w:ascii="Cambria Math" w:eastAsia="HYSinMyeongJo-Medium" w:hAnsi="Cambria Math" w:cstheme="majorBidi"/>
                  <w:sz w:val="22"/>
                  <w:shd w:val="clear" w:color="auto" w:fill="FFFFFF"/>
                </w:rPr>
                <m:t>686 x 0.9604</m:t>
              </m:r>
            </m:num>
            <m:den>
              <m:r>
                <w:rPr>
                  <w:rFonts w:ascii="Cambria Math" w:eastAsia="HYSinMyeongJo-Medium" w:hAnsi="Cambria Math" w:cstheme="majorBidi"/>
                  <w:sz w:val="22"/>
                  <w:shd w:val="clear" w:color="auto" w:fill="FFFFFF"/>
                </w:rPr>
                <m:t>(</m:t>
              </m:r>
              <m:d>
                <m:dPr>
                  <m:ctrlPr>
                    <w:rPr>
                      <w:rFonts w:ascii="Cambria Math" w:eastAsia="HYSinMyeongJo-Medium" w:hAnsi="Cambria Math" w:cstheme="majorBidi"/>
                      <w:i/>
                      <w:sz w:val="22"/>
                      <w:shd w:val="clear" w:color="auto" w:fill="FFFFFF"/>
                    </w:rPr>
                  </m:ctrlPr>
                </m:dPr>
                <m:e>
                  <m:r>
                    <w:rPr>
                      <w:rFonts w:ascii="Cambria Math" w:eastAsia="HYSinMyeongJo-Medium" w:hAnsi="Cambria Math" w:cstheme="majorBidi"/>
                      <w:sz w:val="22"/>
                      <w:shd w:val="clear" w:color="auto" w:fill="FFFFFF"/>
                    </w:rPr>
                    <m:t>686-1</m:t>
                  </m:r>
                </m:e>
              </m:d>
              <m:d>
                <m:dPr>
                  <m:ctrlPr>
                    <w:rPr>
                      <w:rFonts w:ascii="Cambria Math" w:eastAsia="HYSinMyeongJo-Medium" w:hAnsi="Cambria Math" w:cstheme="majorBidi"/>
                      <w:i/>
                      <w:sz w:val="22"/>
                      <w:shd w:val="clear" w:color="auto" w:fill="FFFFFF"/>
                    </w:rPr>
                  </m:ctrlPr>
                </m:dPr>
                <m:e>
                  <m:r>
                    <w:rPr>
                      <w:rFonts w:ascii="Cambria Math" w:eastAsia="HYSinMyeongJo-Medium" w:hAnsi="Cambria Math" w:cstheme="majorBidi"/>
                      <w:sz w:val="22"/>
                      <w:shd w:val="clear" w:color="auto" w:fill="FFFFFF"/>
                    </w:rPr>
                    <m:t>0.07</m:t>
                  </m:r>
                </m:e>
              </m:d>
              <m:sSup>
                <m:sSupPr>
                  <m:ctrlPr>
                    <w:rPr>
                      <w:rFonts w:ascii="Cambria Math" w:eastAsia="HYSinMyeongJo-Medium" w:hAnsi="Cambria Math" w:cstheme="majorBidi"/>
                      <w:sz w:val="22"/>
                      <w:shd w:val="clear" w:color="auto" w:fill="FFFFFF"/>
                    </w:rPr>
                  </m:ctrlPr>
                </m:sSupPr>
                <m:e>
                  <m:r>
                    <w:rPr>
                      <w:rFonts w:ascii="Cambria Math" w:eastAsia="HYSinMyeongJo-Medium" w:hAnsi="Cambria Math" w:cstheme="majorBidi"/>
                      <w:sz w:val="22"/>
                      <w:shd w:val="clear" w:color="auto" w:fill="FFFFFF"/>
                    </w:rPr>
                    <m:t xml:space="preserve"> </m:t>
                  </m:r>
                </m:e>
                <m:sup>
                  <m:r>
                    <w:rPr>
                      <w:rFonts w:ascii="Cambria Math" w:eastAsia="HYSinMyeongJo-Medium" w:hAnsi="Cambria Math" w:cstheme="majorBidi"/>
                      <w:sz w:val="22"/>
                      <w:shd w:val="clear" w:color="auto" w:fill="FFFFFF"/>
                    </w:rPr>
                    <m:t>2</m:t>
                  </m:r>
                </m:sup>
              </m:sSup>
              <m:r>
                <w:rPr>
                  <w:rFonts w:ascii="Cambria Math" w:eastAsia="HYSinMyeongJo-Medium" w:hAnsi="Cambria Math" w:cstheme="majorBidi"/>
                  <w:sz w:val="22"/>
                  <w:shd w:val="clear" w:color="auto" w:fill="FFFFFF"/>
                </w:rPr>
                <m:t>+0.9604))</m:t>
              </m:r>
            </m:den>
          </m:f>
          <m:r>
            <w:rPr>
              <w:rFonts w:ascii="Cambria Math" w:eastAsia="HYSinMyeongJo-Medium" w:hAnsi="Cambria Math" w:cstheme="majorBidi"/>
              <w:sz w:val="22"/>
              <w:shd w:val="clear" w:color="auto" w:fill="FFFFFF"/>
            </w:rPr>
            <m:t>=152.61</m:t>
          </m:r>
        </m:oMath>
      </m:oMathPara>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jc w:val="center"/>
        <w:textAlignment w:val="baseline"/>
        <w:rPr>
          <w:rFonts w:asciiTheme="majorBidi" w:eastAsia="HYSinMyeongJo-Medium" w:hAnsiTheme="majorBidi" w:cstheme="majorBidi"/>
          <w:sz w:val="22"/>
          <w:shd w:val="clear" w:color="auto" w:fill="FFFFFF"/>
          <w:lang w:eastAsia="en-US"/>
        </w:rPr>
      </w:pPr>
      <w:r>
        <w:rPr>
          <w:rFonts w:asciiTheme="majorBidi" w:eastAsia="HYSinMyeongJo-Medium" w:hAnsiTheme="majorBidi" w:cstheme="majorBidi"/>
          <w:noProof/>
          <w:sz w:val="22"/>
          <w:shd w:val="clear" w:color="auto" w:fill="FFFFFF"/>
          <w:lang w:eastAsia="en-US"/>
        </w:rPr>
        <w:drawing>
          <wp:inline distT="0" distB="0" distL="0" distR="0" wp14:anchorId="0F26D850" wp14:editId="604527CA">
            <wp:extent cx="3024505" cy="57308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030041" cy="5740601"/>
                    </a:xfrm>
                    <a:prstGeom prst="rect">
                      <a:avLst/>
                    </a:prstGeom>
                    <a:noFill/>
                  </pic:spPr>
                </pic:pic>
              </a:graphicData>
            </a:graphic>
          </wp:inline>
        </w:drawing>
      </w:r>
    </w:p>
    <w:p w:rsidR="00CF1981" w:rsidRDefault="00CF1981" w:rsidP="00CF1981">
      <w:pPr>
        <w:widowControl/>
        <w:wordWrap/>
        <w:autoSpaceDE/>
        <w:autoSpaceDN/>
        <w:spacing w:after="0" w:line="240" w:lineRule="auto"/>
        <w:jc w:val="center"/>
        <w:rPr>
          <w:rFonts w:asciiTheme="majorBidi" w:eastAsia="HYSinMyeongJo-Medium" w:hAnsiTheme="majorBidi" w:cstheme="majorBidi"/>
          <w:b/>
          <w:bCs/>
          <w:sz w:val="18"/>
          <w:szCs w:val="18"/>
          <w:shd w:val="clear" w:color="auto" w:fill="FFFFFF"/>
        </w:rPr>
      </w:pPr>
      <w:r>
        <w:rPr>
          <w:rFonts w:asciiTheme="majorBidi" w:hAnsiTheme="majorBidi" w:cstheme="majorBidi"/>
          <w:b/>
          <w:bCs/>
          <w:color w:val="000000"/>
          <w:sz w:val="18"/>
          <w:szCs w:val="18"/>
        </w:rPr>
        <w:t>Figure 2. Research Work Flow Chart</w:t>
      </w:r>
    </w:p>
    <w:bookmarkEnd w:id="2"/>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Based on the equation, the required sample size is 153. To be on the safer side, 163 copies were distributed among the sample group because it was expected that a few responses might be rejected due to incompleteness or any other reason. Of 163 copies, 153 questionnaires were returned with a response rate of (153/163 x 100) = 93.86%. Thus, </w:t>
      </w:r>
      <w:r>
        <w:rPr>
          <w:rFonts w:asciiTheme="majorBidi" w:eastAsia="HYSinMyeongJo-Medium" w:hAnsiTheme="majorBidi" w:cstheme="majorBidi"/>
          <w:sz w:val="22"/>
          <w:shd w:val="clear" w:color="auto" w:fill="FFFFFF"/>
        </w:rPr>
        <w:lastRenderedPageBreak/>
        <w:t xml:space="preserve">the total number of questionnaires recovered and valid for statistical analysis is 153 questionnaires. Good feedback was achieved on the questionnaire due to the personal visits to the concerned universities and relevant officers.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360"/>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Pilot Survey</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ind w:left="-45"/>
        <w:textAlignment w:val="baseline"/>
        <w:rPr>
          <w:rFonts w:asciiTheme="majorBidi" w:eastAsia="HYSinMyeongJo-Medium" w:hAnsiTheme="majorBidi" w:cstheme="majorBidi"/>
          <w:bCs/>
          <w:kern w:val="0"/>
          <w:sz w:val="22"/>
          <w:shd w:val="clear" w:color="auto" w:fill="FFFFFF"/>
        </w:rPr>
      </w:pPr>
      <w:r>
        <w:rPr>
          <w:rFonts w:asciiTheme="majorBidi" w:eastAsia="HYSinMyeongJo-Medium" w:hAnsiTheme="majorBidi" w:cstheme="majorBidi"/>
          <w:bCs/>
          <w:kern w:val="0"/>
          <w:sz w:val="22"/>
          <w:shd w:val="clear" w:color="auto" w:fill="FFFFFF"/>
        </w:rPr>
        <w:tab/>
        <w:t xml:space="preserve">A pilot study was conducted to assess the feasibility of the factors on the questionnaire before it was circulated to the target population. In this study, the questionnaire was drafted after structured interviews with experts in the public sector university employees.  Therefore, 16 questionnaires were distributed appropriately to participants based on which modifications were come and incorporated into the questionnaire. The feedback of the expert verification the modifications were made, and then a final study was performed.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ind w:left="-45"/>
        <w:textAlignment w:val="baseline"/>
        <w:rPr>
          <w:rFonts w:asciiTheme="majorBidi" w:eastAsia="HYSinMyeongJo-Medium" w:hAnsiTheme="majorBidi" w:cstheme="majorBidi"/>
          <w:bCs/>
          <w:i/>
          <w:iCs/>
          <w:kern w:val="0"/>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ind w:left="-45"/>
        <w:textAlignment w:val="baseline"/>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 xml:space="preserve">Questionnaire Design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Cs/>
          <w:kern w:val="0"/>
          <w:sz w:val="22"/>
          <w:shd w:val="clear" w:color="auto" w:fill="FFFFFF"/>
        </w:rPr>
      </w:pPr>
      <w:r>
        <w:rPr>
          <w:rFonts w:asciiTheme="majorBidi" w:eastAsia="HYSinMyeongJo-Medium" w:hAnsiTheme="majorBidi" w:cstheme="majorBidi"/>
          <w:bCs/>
          <w:kern w:val="0"/>
          <w:sz w:val="22"/>
          <w:shd w:val="clear" w:color="auto" w:fill="FFFFFF"/>
        </w:rPr>
        <w:tab/>
        <w:t>The questionnaire is divided into two segments. The first segment included the respondent demographic characteristics. The second segment is further divided into six sections. The complete questionnaire detail can be found in Table 7 of this article.</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Cs/>
          <w:i/>
          <w:iCs/>
          <w:kern w:val="0"/>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Data Collection and screening</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One hundred sixty-three questionnaires were distributed among the eighteen public sector universities of Khyber Pakhtunkhwa, Pakistan. The questionnaire was prepared and circulated in the Microsoft form platform for the study in 2020. The circulated data were received in 2 months (from July 2020 to August 2020). One hundred and fifty-three (153) responses (93.86%) were received.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Data Analysis</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Cs/>
          <w:kern w:val="0"/>
          <w:sz w:val="22"/>
          <w:shd w:val="clear" w:color="auto" w:fill="FFFFFF"/>
        </w:rPr>
      </w:pPr>
      <w:r>
        <w:rPr>
          <w:rFonts w:asciiTheme="majorBidi" w:eastAsia="HYSinMyeongJo-Medium" w:hAnsiTheme="majorBidi" w:cstheme="majorBidi"/>
          <w:bCs/>
          <w:kern w:val="0"/>
          <w:sz w:val="22"/>
          <w:shd w:val="clear" w:color="auto" w:fill="FFFFFF"/>
        </w:rPr>
        <w:t xml:space="preserve">Reliability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In this study, the data was passed through the statistical test method of Cronbach’s Alpha to measure the data reliability of the psychometric test. In statistics, Cronbach’s coefficient of interior reliability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&lt;EndNote&gt;&lt;Cite&gt;&lt;Author&gt;Aibinu&lt;/Author&gt;&lt;Year&gt;2002&lt;/Year&gt;&lt;RecNum&gt;50&lt;/RecNum&gt;&lt;DisplayText&gt;(Aibinu &amp;amp; Jagboro, 2002)&lt;/DisplayText&gt;&lt;record&gt;&lt;rec-number&gt;50&lt;/rec-number&gt;&lt;foreign-keys&gt;&lt;key app="EN" db-id="vfxaxssab220zke05fbvp0atztvft95dwrpz" timestamp="1665197396"&gt;50&lt;/key&gt;&lt;/foreign-keys&gt;&lt;ref-type name="Journal Article"&gt;17&lt;/ref-type&gt;&lt;contributors&gt;&lt;authors&gt;&lt;author&gt;Aibinu, AA&lt;/author&gt;&lt;author&gt;Jagboro, GO&lt;/author&gt;&lt;/authors&gt;&lt;/contributors&gt;&lt;titles&gt;&lt;title&gt;The effects of construction delays on project delivery in Nigerian construction industry&lt;/title&gt;&lt;secondary-title&gt;International journal of project management&lt;/secondary-title&gt;&lt;/titles&gt;&lt;periodical&gt;&lt;full-title&gt;International journal of project management&lt;/full-title&gt;&lt;/periodical&gt;&lt;pages&gt;593-599&lt;/pages&gt;&lt;volume&gt;20&lt;/volume&gt;&lt;number&gt;8&lt;/number&gt;&lt;dates&gt;&lt;year&gt;2002&lt;/year&gt;&lt;/dates&gt;&lt;isbn&gt;0263-7863&lt;/isbn&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w:t>
      </w:r>
      <w:hyperlink w:anchor="_ENREF_2" w:tooltip="Aibinu, 2002 #50" w:history="1">
        <w:r>
          <w:rPr>
            <w:rFonts w:asciiTheme="majorBidi" w:eastAsia="HYSinMyeongJo-Medium" w:hAnsiTheme="majorBidi" w:cstheme="majorBidi"/>
            <w:sz w:val="22"/>
            <w:shd w:val="clear" w:color="auto" w:fill="FFFFFF"/>
          </w:rPr>
          <w:t>Aibinu &amp; Jagboro, 2002</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&lt;EndNote&gt;&lt;Cite&gt;&lt;Author&gt;Doloi&lt;/Author&gt;&lt;Year&gt;2012&lt;/Year&gt;&lt;RecNum&gt;53&lt;/RecNum&gt;&lt;DisplayText&gt;(Doloi et al., 2012)&lt;/DisplayText&gt;&lt;record&gt;&lt;rec-number&gt;53&lt;/rec-number&gt;&lt;foreign-keys&gt;&lt;key app="EN" db-id="vfxaxssab220zke05fbvp0atztvft95dwrpz" timestamp="1665197608"&gt;53&lt;/key&gt;&lt;/foreign-keys&gt;&lt;ref-type name="Journal Article"&gt;17&lt;/ref-type&gt;&lt;contributors&gt;&lt;authors&gt;&lt;author&gt;Doloi, Hemanta&lt;/author&gt;&lt;author&gt;Sawhney, Anil&lt;/author&gt;&lt;author&gt;Iyer, KC&lt;/author&gt;&lt;author&gt;Rentala, Sameer&lt;/author&gt;&lt;/authors&gt;&lt;/contributors&gt;&lt;titles&gt;&lt;title&gt;Analysing factors affecting delays in Indian construction projects&lt;/title&gt;&lt;secondary-title&gt;International journal of project management&lt;/secondary-title&gt;&lt;/titles&gt;&lt;periodical&gt;&lt;full-title&gt;International journal of project management&lt;/full-title&gt;&lt;/periodical&gt;&lt;pages&gt;479-489&lt;/pages&gt;&lt;volume&gt;30&lt;/volume&gt;&lt;number&gt;4&lt;/number&gt;&lt;dates&gt;&lt;year&gt;2012&lt;/year&gt;&lt;/dates&gt;&lt;isbn&gt;0263-7863&lt;/isbn&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w:t>
      </w:r>
      <w:hyperlink w:anchor="_ENREF_6" w:tooltip="Doloi, 2012 #53" w:history="1">
        <w:r>
          <w:rPr>
            <w:rFonts w:asciiTheme="majorBidi" w:eastAsia="HYSinMyeongJo-Medium" w:hAnsiTheme="majorBidi" w:cstheme="majorBidi"/>
            <w:sz w:val="22"/>
            <w:shd w:val="clear" w:color="auto" w:fill="FFFFFF"/>
          </w:rPr>
          <w:t>Doloi et al., 2012</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&lt;EndNote&gt;&lt;Cite&gt;&lt;Author&gt;Assaf&lt;/Author&gt;&lt;Year&gt;2006&lt;/Year&gt;&lt;RecNum&gt;42&lt;/RecNum&gt;&lt;DisplayText&gt;(Assaf &amp;amp; Al-Hejji, 2006)&lt;/DisplayText&gt;&lt;record&gt;&lt;rec-number&gt;42&lt;/rec-number&gt;&lt;foreign-keys&gt;&lt;key app="EN" db-id="vfxaxssab220zke05fbvp0atztvft95dwrpz" timestamp="1665197100"&gt;42&lt;/key&gt;&lt;/foreign-keys&gt;&lt;ref-type name="Journal Article"&gt;17&lt;/ref-type&gt;&lt;contributors&gt;&lt;authors&gt;&lt;author&gt;Assaf, Sadi A&lt;/author&gt;&lt;author&gt;Al-Hejji, Sadiq&lt;/author&gt;&lt;/authors&gt;&lt;/contributors&gt;&lt;titles&gt;&lt;title&gt;Causes of delay in large construction projects&lt;/title&gt;&lt;secondary-title&gt;International journal of project management&lt;/secondary-title&gt;&lt;/titles&gt;&lt;periodical&gt;&lt;full-title&gt;International journal of project management&lt;/full-title&gt;&lt;/periodical&gt;&lt;pages&gt;349-357&lt;/pages&gt;&lt;volume&gt;24&lt;/volume&gt;&lt;number&gt;4&lt;/number&gt;&lt;dates&gt;&lt;year&gt;2006&lt;/year&gt;&lt;/dates&gt;&lt;isbn&gt;0263-7863&lt;/isbn&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w:t>
      </w:r>
      <w:hyperlink w:anchor="_ENREF_4" w:tooltip="Assaf, 2006 #26" w:history="1">
        <w:r>
          <w:rPr>
            <w:rFonts w:asciiTheme="majorBidi" w:eastAsia="HYSinMyeongJo-Medium" w:hAnsiTheme="majorBidi" w:cstheme="majorBidi"/>
            <w:sz w:val="22"/>
            <w:shd w:val="clear" w:color="auto" w:fill="FFFFFF"/>
          </w:rPr>
          <w:t>Assaf &amp; Al-Hejji, 2006</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It was first named Alpha by Lee Cronbach in 1951, as he had intended to continue with additional coefficients. The data found reliable, accurate, and employed for further analysis; the limit of the value if greater than 0.60 or above, the data may be considered reliable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&lt;EndNote&gt;&lt;Cite&gt;&lt;Author&gt;Cronbach&lt;/Author&gt;&lt;Year&gt;1951&lt;/Year&gt;&lt;RecNum&gt;56&lt;/RecNum&gt;&lt;DisplayText&gt;(Cronbach, 1951)&lt;/DisplayText&gt;&lt;record&gt;&lt;rec-number&gt;56&lt;/rec-number&gt;&lt;foreign-keys&gt;&lt;key app="EN" db-id="vfxaxssab220zke05fbvp0atztvft95dwrpz" timestamp="1665198612"&gt;56&lt;/key&gt;&lt;/foreign-keys&gt;&lt;ref-type name="Journal Article"&gt;17&lt;/ref-type&gt;&lt;contributors&gt;&lt;authors&gt;&lt;author&gt;Cronbach, Lee J&lt;/author&gt;&lt;/authors&gt;&lt;/contributors&gt;&lt;titles&gt;&lt;title&gt;Coefficient alpha and the internal structure of tests&lt;/title&gt;&lt;secondary-title&gt;psychometrika&lt;/secondary-title&gt;&lt;/titles&gt;&lt;periodical&gt;&lt;full-title&gt;psychometrika&lt;/full-title&gt;&lt;/periodical&gt;&lt;pages&gt;297-334&lt;/pages&gt;&lt;volume&gt;16&lt;/volume&gt;&lt;number&gt;3&lt;/number&gt;&lt;dates&gt;&lt;year&gt;1951&lt;/year&gt;&lt;/dates&gt;&lt;isbn&gt;1860-0980&lt;/isbn&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w:t>
      </w:r>
      <w:hyperlink w:anchor="_ENREF_5" w:tooltip="Cronbach, 1951 #56" w:history="1">
        <w:r>
          <w:rPr>
            <w:rFonts w:asciiTheme="majorBidi" w:eastAsia="HYSinMyeongJo-Medium" w:hAnsiTheme="majorBidi" w:cstheme="majorBidi"/>
            <w:sz w:val="22"/>
            <w:shd w:val="clear" w:color="auto" w:fill="FFFFFF"/>
          </w:rPr>
          <w:t>Cronbach, 1951</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The following table shows the standard values of the data reliability. Standard Cronbach’s Alpha formula is.</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jc w:val="center"/>
        <w:textAlignment w:val="baseline"/>
        <w:rPr>
          <w:rFonts w:asciiTheme="majorBidi" w:eastAsia="HYSinMyeongJo-Medium" w:hAnsiTheme="majorBidi" w:cstheme="majorBidi"/>
          <w:sz w:val="22"/>
          <w:shd w:val="clear" w:color="auto" w:fill="FFFFFF"/>
        </w:rPr>
      </w:pPr>
      <m:oMath>
        <m:r>
          <w:rPr>
            <w:rFonts w:ascii="Cambria Math" w:eastAsia="HYSinMyeongJo-Medium" w:hAnsi="Cambria Math" w:cstheme="majorBidi"/>
            <w:sz w:val="22"/>
            <w:shd w:val="clear" w:color="auto" w:fill="FFFFFF"/>
          </w:rPr>
          <m:t>α</m:t>
        </m:r>
        <m:r>
          <m:rPr>
            <m:sty m:val="p"/>
          </m:rPr>
          <w:rPr>
            <w:rFonts w:ascii="Cambria Math" w:eastAsia="HYSinMyeongJo-Medium" w:hAnsi="Cambria Math" w:cstheme="majorBidi"/>
            <w:sz w:val="22"/>
            <w:shd w:val="clear" w:color="auto" w:fill="FFFFFF"/>
          </w:rPr>
          <m:t>=</m:t>
        </m:r>
        <m:r>
          <w:rPr>
            <w:rFonts w:ascii="Cambria Math" w:eastAsia="HYSinMyeongJo-Medium" w:hAnsi="Cambria Math" w:cstheme="majorBidi"/>
            <w:sz w:val="22"/>
            <w:shd w:val="clear" w:color="auto" w:fill="FFFFFF"/>
          </w:rPr>
          <m:t>k</m:t>
        </m:r>
        <m:f>
          <m:fPr>
            <m:ctrlPr>
              <w:rPr>
                <w:rFonts w:ascii="Cambria Math" w:eastAsia="HYSinMyeongJo-Medium" w:hAnsi="Cambria Math" w:cstheme="majorBidi"/>
                <w:sz w:val="22"/>
                <w:shd w:val="clear" w:color="auto" w:fill="FFFFFF"/>
              </w:rPr>
            </m:ctrlPr>
          </m:fPr>
          <m:num>
            <m:sSup>
              <m:sSupPr>
                <m:ctrlPr>
                  <w:rPr>
                    <w:rFonts w:ascii="Cambria Math" w:eastAsia="HYSinMyeongJo-Medium" w:hAnsi="Cambria Math" w:cstheme="majorBidi"/>
                    <w:sz w:val="22"/>
                    <w:shd w:val="clear" w:color="auto" w:fill="FFFFFF"/>
                  </w:rPr>
                </m:ctrlPr>
              </m:sSupPr>
              <m:e>
                <m:r>
                  <w:rPr>
                    <w:rFonts w:ascii="Cambria Math" w:eastAsia="HYSinMyeongJo-Medium" w:hAnsi="Cambria Math" w:cstheme="majorBidi"/>
                    <w:sz w:val="22"/>
                    <w:shd w:val="clear" w:color="auto" w:fill="FFFFFF"/>
                  </w:rPr>
                  <m:t>r</m:t>
                </m:r>
              </m:e>
              <m:sup>
                <m:r>
                  <m:rPr>
                    <m:sty m:val="p"/>
                  </m:rPr>
                  <w:rPr>
                    <w:rFonts w:ascii="Cambria Math" w:eastAsia="HYSinMyeongJo-Medium" w:hAnsi="Cambria Math" w:cstheme="majorBidi"/>
                    <w:sz w:val="22"/>
                    <w:shd w:val="clear" w:color="auto" w:fill="FFFFFF"/>
                  </w:rPr>
                  <m:t>'</m:t>
                </m:r>
              </m:sup>
            </m:sSup>
          </m:num>
          <m:den>
            <m:r>
              <m:rPr>
                <m:sty m:val="p"/>
              </m:rPr>
              <w:rPr>
                <w:rFonts w:ascii="Cambria Math" w:eastAsia="HYSinMyeongJo-Medium" w:hAnsi="Cambria Math" w:cstheme="majorBidi"/>
                <w:sz w:val="22"/>
                <w:shd w:val="clear" w:color="auto" w:fill="FFFFFF"/>
              </w:rPr>
              <m:t>1+</m:t>
            </m:r>
            <m:d>
              <m:dPr>
                <m:ctrlPr>
                  <w:rPr>
                    <w:rFonts w:ascii="Cambria Math" w:eastAsia="HYSinMyeongJo-Medium" w:hAnsi="Cambria Math" w:cstheme="majorBidi"/>
                    <w:sz w:val="22"/>
                    <w:shd w:val="clear" w:color="auto" w:fill="FFFFFF"/>
                  </w:rPr>
                </m:ctrlPr>
              </m:dPr>
              <m:e>
                <m:r>
                  <w:rPr>
                    <w:rFonts w:ascii="Cambria Math" w:eastAsia="HYSinMyeongJo-Medium" w:hAnsi="Cambria Math" w:cstheme="majorBidi"/>
                    <w:sz w:val="22"/>
                    <w:shd w:val="clear" w:color="auto" w:fill="FFFFFF"/>
                  </w:rPr>
                  <m:t>k</m:t>
                </m:r>
                <m:r>
                  <m:rPr>
                    <m:sty m:val="p"/>
                  </m:rPr>
                  <w:rPr>
                    <w:rFonts w:ascii="Cambria Math" w:eastAsia="HYSinMyeongJo-Medium" w:hAnsi="Cambria Math" w:cstheme="majorBidi"/>
                    <w:sz w:val="22"/>
                    <w:shd w:val="clear" w:color="auto" w:fill="FFFFFF"/>
                  </w:rPr>
                  <m:t>-1</m:t>
                </m:r>
              </m:e>
            </m:d>
            <m:sSup>
              <m:sSupPr>
                <m:ctrlPr>
                  <w:rPr>
                    <w:rFonts w:ascii="Cambria Math" w:eastAsia="HYSinMyeongJo-Medium" w:hAnsi="Cambria Math" w:cstheme="majorBidi"/>
                    <w:sz w:val="22"/>
                    <w:shd w:val="clear" w:color="auto" w:fill="FFFFFF"/>
                  </w:rPr>
                </m:ctrlPr>
              </m:sSupPr>
              <m:e>
                <m:r>
                  <w:rPr>
                    <w:rFonts w:ascii="Cambria Math" w:eastAsia="HYSinMyeongJo-Medium" w:hAnsi="Cambria Math" w:cstheme="majorBidi"/>
                    <w:sz w:val="22"/>
                    <w:shd w:val="clear" w:color="auto" w:fill="FFFFFF"/>
                  </w:rPr>
                  <m:t>r</m:t>
                </m:r>
              </m:e>
              <m:sup>
                <m:r>
                  <m:rPr>
                    <m:sty m:val="p"/>
                  </m:rPr>
                  <w:rPr>
                    <w:rFonts w:ascii="Cambria Math" w:eastAsia="HYSinMyeongJo-Medium" w:hAnsi="Cambria Math" w:cstheme="majorBidi"/>
                    <w:sz w:val="22"/>
                    <w:shd w:val="clear" w:color="auto" w:fill="FFFFFF"/>
                  </w:rPr>
                  <m:t>'</m:t>
                </m:r>
              </m:sup>
            </m:sSup>
          </m:den>
        </m:f>
      </m:oMath>
      <w:r>
        <w:rPr>
          <w:rFonts w:asciiTheme="majorBidi" w:eastAsia="HYSinMyeongJo-Medium" w:hAnsiTheme="majorBidi" w:cstheme="majorBidi"/>
          <w:b/>
          <w:bCs/>
          <w:sz w:val="22"/>
          <w:shd w:val="clear" w:color="auto" w:fill="FFFFFF"/>
        </w:rPr>
        <w:t xml:space="preserve"> ---------------- (</w:t>
      </w:r>
      <w:r>
        <w:rPr>
          <w:rFonts w:asciiTheme="majorBidi" w:eastAsia="HYSinMyeongJo-Medium" w:hAnsiTheme="majorBidi" w:cstheme="majorBidi"/>
          <w:sz w:val="22"/>
          <w:shd w:val="clear" w:color="auto" w:fill="FFFFFF"/>
        </w:rPr>
        <w:t>3)</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 xml:space="preserve">Where k is the number of respondents and </w:t>
      </w:r>
      <m:oMath>
        <m:sSup>
          <m:sSupPr>
            <m:ctrlPr>
              <w:rPr>
                <w:rFonts w:ascii="Cambria Math" w:eastAsia="HYSinMyeongJo-Medium" w:hAnsi="Cambria Math" w:cstheme="majorBidi"/>
                <w:sz w:val="22"/>
                <w:shd w:val="clear" w:color="auto" w:fill="FFFFFF"/>
              </w:rPr>
            </m:ctrlPr>
          </m:sSupPr>
          <m:e>
            <m:r>
              <w:rPr>
                <w:rFonts w:ascii="Cambria Math" w:eastAsia="HYSinMyeongJo-Medium" w:hAnsi="Cambria Math" w:cstheme="majorBidi"/>
                <w:sz w:val="22"/>
                <w:shd w:val="clear" w:color="auto" w:fill="FFFFFF"/>
              </w:rPr>
              <m:t>r</m:t>
            </m:r>
          </m:e>
          <m:sup>
            <m:r>
              <m:rPr>
                <m:sty m:val="p"/>
              </m:rPr>
              <w:rPr>
                <w:rFonts w:ascii="Cambria Math" w:eastAsia="HYSinMyeongJo-Medium" w:hAnsi="Cambria Math" w:cstheme="majorBidi"/>
                <w:sz w:val="22"/>
                <w:shd w:val="clear" w:color="auto" w:fill="FFFFFF"/>
              </w:rPr>
              <m:t>'</m:t>
            </m:r>
          </m:sup>
        </m:sSup>
      </m:oMath>
      <w:r>
        <w:rPr>
          <w:rFonts w:asciiTheme="majorBidi" w:eastAsia="HYSinMyeongJo-Medium" w:hAnsiTheme="majorBidi" w:cstheme="majorBidi"/>
          <w:sz w:val="22"/>
          <w:shd w:val="clear" w:color="auto" w:fill="FFFFFF"/>
        </w:rPr>
        <w:t xml:space="preserve"> is the average correlation.</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pStyle w:val="TableofFigures"/>
        <w:tabs>
          <w:tab w:val="right" w:leader="dot" w:pos="9016"/>
        </w:tabs>
        <w:wordWrap/>
        <w:spacing w:line="240" w:lineRule="auto"/>
        <w:rPr>
          <w:rFonts w:asciiTheme="majorBidi" w:hAnsiTheme="majorBidi" w:cstheme="majorBidi"/>
          <w:i/>
          <w:iCs/>
          <w:sz w:val="18"/>
          <w:szCs w:val="18"/>
        </w:rPr>
      </w:pPr>
      <w:r>
        <w:rPr>
          <w:rFonts w:asciiTheme="majorBidi" w:hAnsiTheme="majorBidi" w:cstheme="majorBidi"/>
          <w:b/>
          <w:bCs/>
          <w:i/>
          <w:iCs/>
          <w:sz w:val="18"/>
          <w:szCs w:val="18"/>
        </w:rPr>
        <w:t>Table 2</w:t>
      </w:r>
    </w:p>
    <w:p w:rsidR="00CF1981" w:rsidRDefault="00CF1981" w:rsidP="00CF1981">
      <w:pPr>
        <w:pStyle w:val="TableofFigures"/>
        <w:tabs>
          <w:tab w:val="right" w:leader="dot" w:pos="9016"/>
        </w:tabs>
        <w:wordWrap/>
        <w:spacing w:line="240" w:lineRule="auto"/>
        <w:rPr>
          <w:rFonts w:asciiTheme="majorBidi" w:hAnsiTheme="majorBidi" w:cstheme="majorBidi"/>
          <w:i/>
          <w:iCs/>
          <w:sz w:val="18"/>
          <w:szCs w:val="18"/>
        </w:rPr>
      </w:pPr>
      <w:r>
        <w:rPr>
          <w:rFonts w:asciiTheme="majorBidi" w:hAnsiTheme="majorBidi" w:cstheme="majorBidi"/>
          <w:i/>
          <w:iCs/>
          <w:sz w:val="18"/>
          <w:szCs w:val="18"/>
        </w:rPr>
        <w:t xml:space="preserve">Data Reliability Guidelines </w:t>
      </w:r>
    </w:p>
    <w:tbl>
      <w:tblPr>
        <w:tblW w:w="5000" w:type="pct"/>
        <w:tblBorders>
          <w:top w:val="single" w:sz="4" w:space="0" w:color="000000"/>
          <w:bottom w:val="single" w:sz="4" w:space="0" w:color="000000"/>
          <w:insideH w:val="single" w:sz="4" w:space="0" w:color="000000"/>
          <w:insideV w:val="single" w:sz="4" w:space="0" w:color="auto"/>
        </w:tblBorders>
        <w:tblCellMar>
          <w:left w:w="0" w:type="dxa"/>
          <w:right w:w="0" w:type="dxa"/>
        </w:tblCellMar>
        <w:tblLook w:val="04A0" w:firstRow="1" w:lastRow="0" w:firstColumn="1" w:lastColumn="0" w:noHBand="0" w:noVBand="1"/>
      </w:tblPr>
      <w:tblGrid>
        <w:gridCol w:w="2373"/>
        <w:gridCol w:w="1502"/>
        <w:gridCol w:w="2272"/>
      </w:tblGrid>
      <w:tr w:rsidR="00CF1981" w:rsidTr="00BB71D6">
        <w:trPr>
          <w:trHeight w:val="8"/>
        </w:trPr>
        <w:tc>
          <w:tcPr>
            <w:tcW w:w="1930" w:type="pct"/>
            <w:tcBorders>
              <w:top w:val="single" w:sz="4" w:space="0" w:color="000000"/>
              <w:left w:val="nil"/>
              <w:bottom w:val="single" w:sz="4" w:space="0" w:color="000000"/>
              <w:right w:val="nil"/>
            </w:tcBorders>
          </w:tcPr>
          <w:p w:rsidR="00CF1981" w:rsidRDefault="00CF1981" w:rsidP="00BB71D6">
            <w:pPr>
              <w:pStyle w:val="TableParagraph"/>
              <w:spacing w:line="240" w:lineRule="auto"/>
              <w:ind w:left="0" w:right="95"/>
              <w:jc w:val="both"/>
              <w:rPr>
                <w:rFonts w:asciiTheme="majorBidi" w:hAnsiTheme="majorBidi" w:cstheme="majorBidi"/>
                <w:b/>
                <w:sz w:val="18"/>
                <w:szCs w:val="18"/>
              </w:rPr>
            </w:pPr>
            <w:r>
              <w:rPr>
                <w:rFonts w:asciiTheme="majorBidi" w:hAnsiTheme="majorBidi" w:cstheme="majorBidi"/>
                <w:b/>
                <w:sz w:val="18"/>
                <w:szCs w:val="18"/>
              </w:rPr>
              <w:t>Cronbach’s Alpha (α)</w:t>
            </w:r>
          </w:p>
        </w:tc>
        <w:tc>
          <w:tcPr>
            <w:tcW w:w="1222" w:type="pct"/>
            <w:tcBorders>
              <w:top w:val="single" w:sz="4" w:space="0" w:color="000000"/>
              <w:left w:val="nil"/>
              <w:bottom w:val="single" w:sz="4" w:space="0" w:color="000000"/>
              <w:right w:val="nil"/>
            </w:tcBorders>
          </w:tcPr>
          <w:p w:rsidR="00CF1981" w:rsidRDefault="00CF1981" w:rsidP="00BB71D6">
            <w:pPr>
              <w:pStyle w:val="TableParagraph"/>
              <w:spacing w:line="240" w:lineRule="auto"/>
              <w:ind w:left="0" w:right="95"/>
              <w:jc w:val="both"/>
              <w:rPr>
                <w:rFonts w:asciiTheme="majorBidi" w:hAnsiTheme="majorBidi" w:cstheme="majorBidi"/>
                <w:b/>
                <w:sz w:val="18"/>
                <w:szCs w:val="18"/>
              </w:rPr>
            </w:pPr>
          </w:p>
        </w:tc>
        <w:tc>
          <w:tcPr>
            <w:tcW w:w="1849" w:type="pct"/>
            <w:tcBorders>
              <w:top w:val="single" w:sz="4" w:space="0" w:color="000000"/>
              <w:left w:val="nil"/>
              <w:bottom w:val="single" w:sz="4" w:space="0" w:color="000000"/>
              <w:right w:val="nil"/>
            </w:tcBorders>
          </w:tcPr>
          <w:p w:rsidR="00CF1981" w:rsidRDefault="00CF1981" w:rsidP="00BB71D6">
            <w:pPr>
              <w:pStyle w:val="TableParagraph"/>
              <w:spacing w:line="240" w:lineRule="auto"/>
              <w:ind w:left="5" w:right="95"/>
              <w:jc w:val="both"/>
              <w:rPr>
                <w:rFonts w:asciiTheme="majorBidi" w:hAnsiTheme="majorBidi" w:cstheme="majorBidi"/>
                <w:b/>
                <w:sz w:val="18"/>
                <w:szCs w:val="18"/>
              </w:rPr>
            </w:pPr>
            <w:r>
              <w:rPr>
                <w:rFonts w:asciiTheme="majorBidi" w:hAnsiTheme="majorBidi" w:cstheme="majorBidi"/>
                <w:b/>
                <w:sz w:val="18"/>
                <w:szCs w:val="18"/>
              </w:rPr>
              <w:t xml:space="preserve">Internal Reliability </w:t>
            </w:r>
          </w:p>
        </w:tc>
      </w:tr>
      <w:tr w:rsidR="00CF1981" w:rsidTr="00BB71D6">
        <w:trPr>
          <w:trHeight w:val="8"/>
        </w:trPr>
        <w:tc>
          <w:tcPr>
            <w:tcW w:w="1930" w:type="pct"/>
            <w:tcBorders>
              <w:top w:val="single" w:sz="4" w:space="0" w:color="000000"/>
              <w:left w:val="nil"/>
              <w:bottom w:val="nil"/>
              <w:right w:val="nil"/>
            </w:tcBorders>
          </w:tcPr>
          <w:p w:rsidR="00CF1981" w:rsidRDefault="00CF1981" w:rsidP="00BB71D6">
            <w:pPr>
              <w:pStyle w:val="TableParagraph"/>
              <w:spacing w:line="240" w:lineRule="auto"/>
              <w:ind w:left="0" w:right="95"/>
              <w:jc w:val="both"/>
              <w:rPr>
                <w:rFonts w:asciiTheme="majorBidi" w:hAnsiTheme="majorBidi" w:cstheme="majorBidi"/>
                <w:sz w:val="18"/>
                <w:szCs w:val="18"/>
              </w:rPr>
            </w:pPr>
            <w:r>
              <w:rPr>
                <w:rFonts w:asciiTheme="majorBidi" w:hAnsiTheme="majorBidi" w:cstheme="majorBidi"/>
                <w:sz w:val="18"/>
                <w:szCs w:val="18"/>
              </w:rPr>
              <w:t>0.900 ≤ α</w:t>
            </w:r>
          </w:p>
        </w:tc>
        <w:tc>
          <w:tcPr>
            <w:tcW w:w="1222" w:type="pct"/>
            <w:tcBorders>
              <w:top w:val="single" w:sz="4" w:space="0" w:color="000000"/>
              <w:left w:val="nil"/>
              <w:bottom w:val="nil"/>
              <w:right w:val="nil"/>
            </w:tcBorders>
          </w:tcPr>
          <w:p w:rsidR="00CF1981" w:rsidRDefault="00CF1981" w:rsidP="00BB71D6">
            <w:pPr>
              <w:pStyle w:val="TableParagraph"/>
              <w:spacing w:line="240" w:lineRule="auto"/>
              <w:ind w:left="4" w:right="95"/>
              <w:jc w:val="both"/>
              <w:rPr>
                <w:rFonts w:asciiTheme="majorBidi" w:hAnsiTheme="majorBidi" w:cstheme="majorBidi"/>
                <w:sz w:val="18"/>
                <w:szCs w:val="18"/>
              </w:rPr>
            </w:pPr>
          </w:p>
        </w:tc>
        <w:tc>
          <w:tcPr>
            <w:tcW w:w="1849" w:type="pct"/>
            <w:tcBorders>
              <w:top w:val="single" w:sz="4" w:space="0" w:color="000000"/>
              <w:left w:val="nil"/>
              <w:bottom w:val="nil"/>
              <w:right w:val="nil"/>
            </w:tcBorders>
          </w:tcPr>
          <w:p w:rsidR="00CF1981" w:rsidRDefault="00CF1981" w:rsidP="00BB71D6">
            <w:pPr>
              <w:pStyle w:val="TableParagraph"/>
              <w:spacing w:line="240" w:lineRule="auto"/>
              <w:ind w:left="4" w:right="95"/>
              <w:jc w:val="both"/>
              <w:rPr>
                <w:rFonts w:asciiTheme="majorBidi" w:hAnsiTheme="majorBidi" w:cstheme="majorBidi"/>
                <w:sz w:val="18"/>
                <w:szCs w:val="18"/>
              </w:rPr>
            </w:pPr>
            <w:r>
              <w:rPr>
                <w:rFonts w:asciiTheme="majorBidi" w:hAnsiTheme="majorBidi" w:cstheme="majorBidi"/>
                <w:sz w:val="18"/>
                <w:szCs w:val="18"/>
              </w:rPr>
              <w:t>Excellent</w:t>
            </w:r>
          </w:p>
        </w:tc>
      </w:tr>
      <w:tr w:rsidR="00CF1981" w:rsidTr="00BB71D6">
        <w:trPr>
          <w:trHeight w:val="8"/>
        </w:trPr>
        <w:tc>
          <w:tcPr>
            <w:tcW w:w="1930" w:type="pct"/>
            <w:tcBorders>
              <w:top w:val="nil"/>
              <w:left w:val="nil"/>
              <w:bottom w:val="nil"/>
              <w:right w:val="nil"/>
            </w:tcBorders>
          </w:tcPr>
          <w:p w:rsidR="00CF1981" w:rsidRDefault="00CF1981" w:rsidP="00BB71D6">
            <w:pPr>
              <w:pStyle w:val="TableParagraph"/>
              <w:spacing w:line="240" w:lineRule="auto"/>
              <w:ind w:left="0" w:right="95"/>
              <w:jc w:val="both"/>
              <w:rPr>
                <w:rFonts w:asciiTheme="majorBidi" w:hAnsiTheme="majorBidi" w:cstheme="majorBidi"/>
                <w:sz w:val="18"/>
                <w:szCs w:val="18"/>
              </w:rPr>
            </w:pPr>
            <w:r>
              <w:rPr>
                <w:rFonts w:asciiTheme="majorBidi" w:hAnsiTheme="majorBidi" w:cstheme="majorBidi"/>
                <w:sz w:val="18"/>
                <w:szCs w:val="18"/>
              </w:rPr>
              <w:t>0.700 ≤ α &lt; 0.89</w:t>
            </w:r>
          </w:p>
        </w:tc>
        <w:tc>
          <w:tcPr>
            <w:tcW w:w="1222" w:type="pct"/>
            <w:tcBorders>
              <w:top w:val="nil"/>
              <w:left w:val="nil"/>
              <w:bottom w:val="nil"/>
              <w:right w:val="nil"/>
            </w:tcBorders>
          </w:tcPr>
          <w:p w:rsidR="00CF1981" w:rsidRDefault="00CF1981" w:rsidP="00BB71D6">
            <w:pPr>
              <w:pStyle w:val="TableParagraph"/>
              <w:spacing w:line="240" w:lineRule="auto"/>
              <w:ind w:left="5" w:right="95"/>
              <w:jc w:val="both"/>
              <w:rPr>
                <w:rFonts w:asciiTheme="majorBidi" w:hAnsiTheme="majorBidi" w:cstheme="majorBidi"/>
                <w:sz w:val="18"/>
                <w:szCs w:val="18"/>
              </w:rPr>
            </w:pPr>
          </w:p>
        </w:tc>
        <w:tc>
          <w:tcPr>
            <w:tcW w:w="1849" w:type="pct"/>
            <w:tcBorders>
              <w:top w:val="nil"/>
              <w:left w:val="nil"/>
              <w:bottom w:val="nil"/>
              <w:right w:val="nil"/>
            </w:tcBorders>
          </w:tcPr>
          <w:p w:rsidR="00CF1981" w:rsidRDefault="00CF1981" w:rsidP="00BB71D6">
            <w:pPr>
              <w:pStyle w:val="TableParagraph"/>
              <w:spacing w:line="240" w:lineRule="auto"/>
              <w:ind w:left="5" w:right="95"/>
              <w:jc w:val="both"/>
              <w:rPr>
                <w:rFonts w:asciiTheme="majorBidi" w:hAnsiTheme="majorBidi" w:cstheme="majorBidi"/>
                <w:sz w:val="18"/>
                <w:szCs w:val="18"/>
              </w:rPr>
            </w:pPr>
            <w:r>
              <w:rPr>
                <w:rFonts w:asciiTheme="majorBidi" w:hAnsiTheme="majorBidi" w:cstheme="majorBidi"/>
                <w:sz w:val="18"/>
                <w:szCs w:val="18"/>
              </w:rPr>
              <w:t>Good</w:t>
            </w:r>
          </w:p>
        </w:tc>
      </w:tr>
      <w:tr w:rsidR="00CF1981" w:rsidTr="00BB71D6">
        <w:trPr>
          <w:trHeight w:val="8"/>
        </w:trPr>
        <w:tc>
          <w:tcPr>
            <w:tcW w:w="1930" w:type="pct"/>
            <w:tcBorders>
              <w:top w:val="nil"/>
              <w:left w:val="nil"/>
              <w:bottom w:val="nil"/>
              <w:right w:val="nil"/>
            </w:tcBorders>
          </w:tcPr>
          <w:p w:rsidR="00CF1981" w:rsidRDefault="00CF1981" w:rsidP="00BB71D6">
            <w:pPr>
              <w:pStyle w:val="TableParagraph"/>
              <w:spacing w:line="240" w:lineRule="auto"/>
              <w:ind w:left="0" w:right="95"/>
              <w:jc w:val="both"/>
              <w:rPr>
                <w:rFonts w:asciiTheme="majorBidi" w:hAnsiTheme="majorBidi" w:cstheme="majorBidi"/>
                <w:sz w:val="18"/>
                <w:szCs w:val="18"/>
              </w:rPr>
            </w:pPr>
            <w:r>
              <w:rPr>
                <w:rFonts w:asciiTheme="majorBidi" w:hAnsiTheme="majorBidi" w:cstheme="majorBidi"/>
                <w:sz w:val="18"/>
                <w:szCs w:val="18"/>
              </w:rPr>
              <w:t>0.600 ≤ α &lt; 0.69</w:t>
            </w:r>
          </w:p>
        </w:tc>
        <w:tc>
          <w:tcPr>
            <w:tcW w:w="1222" w:type="pct"/>
            <w:tcBorders>
              <w:top w:val="nil"/>
              <w:left w:val="nil"/>
              <w:bottom w:val="nil"/>
              <w:right w:val="nil"/>
            </w:tcBorders>
          </w:tcPr>
          <w:p w:rsidR="00CF1981" w:rsidRDefault="00CF1981" w:rsidP="00BB71D6">
            <w:pPr>
              <w:pStyle w:val="TableParagraph"/>
              <w:spacing w:line="240" w:lineRule="auto"/>
              <w:ind w:left="5" w:right="95"/>
              <w:jc w:val="both"/>
              <w:rPr>
                <w:rFonts w:asciiTheme="majorBidi" w:hAnsiTheme="majorBidi" w:cstheme="majorBidi"/>
                <w:sz w:val="18"/>
                <w:szCs w:val="18"/>
              </w:rPr>
            </w:pPr>
          </w:p>
        </w:tc>
        <w:tc>
          <w:tcPr>
            <w:tcW w:w="1849" w:type="pct"/>
            <w:tcBorders>
              <w:top w:val="nil"/>
              <w:left w:val="nil"/>
              <w:bottom w:val="nil"/>
              <w:right w:val="nil"/>
            </w:tcBorders>
          </w:tcPr>
          <w:p w:rsidR="00CF1981" w:rsidRDefault="00CF1981" w:rsidP="00BB71D6">
            <w:pPr>
              <w:pStyle w:val="TableParagraph"/>
              <w:spacing w:line="240" w:lineRule="auto"/>
              <w:ind w:left="5" w:right="95"/>
              <w:jc w:val="both"/>
              <w:rPr>
                <w:rFonts w:asciiTheme="majorBidi" w:hAnsiTheme="majorBidi" w:cstheme="majorBidi"/>
                <w:sz w:val="18"/>
                <w:szCs w:val="18"/>
              </w:rPr>
            </w:pPr>
            <w:r>
              <w:rPr>
                <w:rFonts w:asciiTheme="majorBidi" w:hAnsiTheme="majorBidi" w:cstheme="majorBidi"/>
                <w:sz w:val="18"/>
                <w:szCs w:val="18"/>
              </w:rPr>
              <w:t xml:space="preserve">Acceptable </w:t>
            </w:r>
          </w:p>
        </w:tc>
      </w:tr>
      <w:tr w:rsidR="00CF1981" w:rsidTr="00BB71D6">
        <w:trPr>
          <w:trHeight w:val="8"/>
        </w:trPr>
        <w:tc>
          <w:tcPr>
            <w:tcW w:w="1930" w:type="pct"/>
            <w:tcBorders>
              <w:top w:val="nil"/>
              <w:left w:val="nil"/>
              <w:bottom w:val="single" w:sz="4" w:space="0" w:color="000000"/>
              <w:right w:val="nil"/>
            </w:tcBorders>
          </w:tcPr>
          <w:p w:rsidR="00CF1981" w:rsidRDefault="00CF1981" w:rsidP="00BB71D6">
            <w:pPr>
              <w:pStyle w:val="TableParagraph"/>
              <w:spacing w:line="240" w:lineRule="auto"/>
              <w:ind w:left="0" w:right="94"/>
              <w:jc w:val="both"/>
              <w:rPr>
                <w:rFonts w:asciiTheme="majorBidi" w:hAnsiTheme="majorBidi" w:cstheme="majorBidi"/>
                <w:sz w:val="18"/>
                <w:szCs w:val="18"/>
              </w:rPr>
            </w:pPr>
            <w:r>
              <w:rPr>
                <w:rFonts w:asciiTheme="majorBidi" w:hAnsiTheme="majorBidi" w:cstheme="majorBidi"/>
                <w:sz w:val="18"/>
                <w:szCs w:val="18"/>
              </w:rPr>
              <w:t>0.500 ≤ α &lt; 0.59</w:t>
            </w:r>
          </w:p>
          <w:p w:rsidR="00CF1981" w:rsidRDefault="00CF1981" w:rsidP="00BB71D6">
            <w:pPr>
              <w:pStyle w:val="TableParagraph"/>
              <w:spacing w:line="240" w:lineRule="auto"/>
              <w:ind w:left="0" w:right="94"/>
              <w:jc w:val="both"/>
              <w:rPr>
                <w:rFonts w:asciiTheme="majorBidi" w:hAnsiTheme="majorBidi" w:cstheme="majorBidi"/>
                <w:sz w:val="18"/>
                <w:szCs w:val="18"/>
              </w:rPr>
            </w:pPr>
            <w:r>
              <w:rPr>
                <w:rFonts w:asciiTheme="majorBidi" w:hAnsiTheme="majorBidi" w:cstheme="majorBidi"/>
                <w:sz w:val="18"/>
                <w:szCs w:val="18"/>
              </w:rPr>
              <w:t xml:space="preserve">α &lt; 0.5                                           </w:t>
            </w:r>
          </w:p>
        </w:tc>
        <w:tc>
          <w:tcPr>
            <w:tcW w:w="1222" w:type="pct"/>
            <w:tcBorders>
              <w:top w:val="nil"/>
              <w:left w:val="nil"/>
              <w:bottom w:val="single" w:sz="4" w:space="0" w:color="000000"/>
              <w:right w:val="nil"/>
            </w:tcBorders>
          </w:tcPr>
          <w:p w:rsidR="00CF1981" w:rsidRDefault="00CF1981" w:rsidP="00BB71D6">
            <w:pPr>
              <w:pStyle w:val="TableParagraph"/>
              <w:spacing w:line="240" w:lineRule="auto"/>
              <w:ind w:left="5" w:right="94"/>
              <w:jc w:val="both"/>
              <w:rPr>
                <w:rFonts w:asciiTheme="majorBidi" w:hAnsiTheme="majorBidi" w:cstheme="majorBidi"/>
                <w:sz w:val="18"/>
                <w:szCs w:val="18"/>
              </w:rPr>
            </w:pPr>
          </w:p>
        </w:tc>
        <w:tc>
          <w:tcPr>
            <w:tcW w:w="1849" w:type="pct"/>
            <w:tcBorders>
              <w:top w:val="nil"/>
              <w:left w:val="nil"/>
              <w:bottom w:val="single" w:sz="4" w:space="0" w:color="000000"/>
              <w:right w:val="nil"/>
            </w:tcBorders>
          </w:tcPr>
          <w:p w:rsidR="00CF1981" w:rsidRDefault="00CF1981" w:rsidP="00BB71D6">
            <w:pPr>
              <w:pStyle w:val="TableParagraph"/>
              <w:spacing w:line="240" w:lineRule="auto"/>
              <w:ind w:left="5" w:right="94"/>
              <w:jc w:val="both"/>
              <w:rPr>
                <w:rFonts w:asciiTheme="majorBidi" w:hAnsiTheme="majorBidi" w:cstheme="majorBidi"/>
                <w:sz w:val="18"/>
                <w:szCs w:val="18"/>
              </w:rPr>
            </w:pPr>
            <w:r>
              <w:rPr>
                <w:rFonts w:asciiTheme="majorBidi" w:hAnsiTheme="majorBidi" w:cstheme="majorBidi"/>
                <w:sz w:val="18"/>
                <w:szCs w:val="18"/>
              </w:rPr>
              <w:t>Poor</w:t>
            </w:r>
          </w:p>
          <w:p w:rsidR="00CF1981" w:rsidRDefault="00CF1981" w:rsidP="00BB71D6">
            <w:pPr>
              <w:pStyle w:val="TableParagraph"/>
              <w:spacing w:line="240" w:lineRule="auto"/>
              <w:ind w:left="5" w:right="94"/>
              <w:jc w:val="both"/>
              <w:rPr>
                <w:rFonts w:asciiTheme="majorBidi" w:hAnsiTheme="majorBidi" w:cstheme="majorBidi"/>
                <w:sz w:val="18"/>
                <w:szCs w:val="18"/>
              </w:rPr>
            </w:pPr>
            <w:r>
              <w:rPr>
                <w:rFonts w:asciiTheme="majorBidi" w:hAnsiTheme="majorBidi" w:cstheme="majorBidi"/>
                <w:sz w:val="18"/>
                <w:szCs w:val="18"/>
              </w:rPr>
              <w:t>Unacceptable</w:t>
            </w:r>
          </w:p>
        </w:tc>
      </w:tr>
    </w:tbl>
    <w:p w:rsidR="00CF1981" w:rsidRDefault="00CF1981" w:rsidP="00CF1981">
      <w:pPr>
        <w:wordWrap/>
        <w:spacing w:after="0" w:line="240" w:lineRule="auto"/>
        <w:ind w:left="720"/>
        <w:rPr>
          <w:rFonts w:asciiTheme="majorBidi" w:hAnsiTheme="majorBidi" w:cstheme="majorBidi"/>
          <w:sz w:val="22"/>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Table 2 represents the check for the reliability statistic by Cronbach's Alpha, the values acquired from the selected variables through Cronbach's Alpha. The values in the table show that maximum reliability statistic values are recorded for Material (MA) causing factors, and the lowest value was noted in the sponsoring ministry (HEC) category.</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ind w:left="-270"/>
        <w:textAlignment w:val="baseline"/>
        <w:rPr>
          <w:rFonts w:asciiTheme="majorBidi" w:hAnsiTheme="majorBidi" w:cstheme="majorBidi"/>
          <w:sz w:val="22"/>
        </w:rPr>
      </w:pPr>
      <w:bookmarkStart w:id="3" w:name="_Toc513056891"/>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hAnsiTheme="majorBidi" w:cstheme="majorBidi"/>
          <w:i/>
          <w:iCs/>
          <w:sz w:val="18"/>
          <w:szCs w:val="18"/>
        </w:rPr>
      </w:pPr>
      <w:r>
        <w:rPr>
          <w:rFonts w:asciiTheme="majorBidi" w:hAnsiTheme="majorBidi" w:cstheme="majorBidi"/>
          <w:b/>
          <w:bCs/>
          <w:i/>
          <w:iCs/>
          <w:sz w:val="18"/>
          <w:szCs w:val="18"/>
        </w:rPr>
        <w:t>Table 3</w:t>
      </w:r>
      <w:bookmarkEnd w:id="3"/>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ind w:left="-90"/>
        <w:textAlignment w:val="baseline"/>
        <w:rPr>
          <w:rFonts w:asciiTheme="majorBidi" w:hAnsiTheme="majorBidi" w:cstheme="majorBidi"/>
          <w:i/>
          <w:iCs/>
          <w:sz w:val="18"/>
          <w:szCs w:val="18"/>
        </w:rPr>
      </w:pPr>
      <w:r>
        <w:rPr>
          <w:rFonts w:asciiTheme="majorBidi" w:hAnsiTheme="majorBidi" w:cstheme="majorBidi"/>
          <w:i/>
          <w:iCs/>
          <w:sz w:val="18"/>
          <w:szCs w:val="18"/>
        </w:rPr>
        <w:t>The Coefficient for Reliability: Cronbach</w:t>
      </w:r>
    </w:p>
    <w:tbl>
      <w:tblPr>
        <w:tblW w:w="5000" w:type="pct"/>
        <w:tblLook w:val="04A0" w:firstRow="1" w:lastRow="0" w:firstColumn="1" w:lastColumn="0" w:noHBand="0" w:noVBand="1"/>
      </w:tblPr>
      <w:tblGrid>
        <w:gridCol w:w="2882"/>
        <w:gridCol w:w="1663"/>
        <w:gridCol w:w="1602"/>
      </w:tblGrid>
      <w:tr w:rsidR="00CF1981" w:rsidTr="00BB71D6">
        <w:trPr>
          <w:trHeight w:val="381"/>
        </w:trPr>
        <w:tc>
          <w:tcPr>
            <w:tcW w:w="2344" w:type="pct"/>
            <w:tcBorders>
              <w:top w:val="single" w:sz="4" w:space="0" w:color="auto"/>
              <w:left w:val="nil"/>
              <w:bottom w:val="single" w:sz="4" w:space="0" w:color="auto"/>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b/>
                <w:bCs/>
                <w:kern w:val="0"/>
                <w:sz w:val="18"/>
                <w:szCs w:val="18"/>
                <w:lang w:eastAsia="en-US"/>
              </w:rPr>
            </w:pPr>
            <w:r>
              <w:rPr>
                <w:rFonts w:asciiTheme="majorBidi" w:eastAsia="Times New Roman" w:hAnsiTheme="majorBidi" w:cstheme="majorBidi"/>
                <w:b/>
                <w:bCs/>
                <w:kern w:val="0"/>
                <w:sz w:val="18"/>
                <w:szCs w:val="18"/>
                <w:lang w:eastAsia="en-US"/>
              </w:rPr>
              <w:t>Group</w:t>
            </w:r>
          </w:p>
        </w:tc>
        <w:tc>
          <w:tcPr>
            <w:tcW w:w="1353" w:type="pct"/>
            <w:tcBorders>
              <w:top w:val="single" w:sz="4" w:space="0" w:color="auto"/>
              <w:left w:val="nil"/>
              <w:bottom w:val="single" w:sz="4" w:space="0" w:color="auto"/>
              <w:right w:val="nil"/>
            </w:tcBorders>
            <w:shd w:val="clear" w:color="000000" w:fill="FFFFFF"/>
            <w:vAlign w:val="center"/>
          </w:tcPr>
          <w:p w:rsidR="00CF1981" w:rsidRDefault="00CF1981" w:rsidP="00BB71D6">
            <w:pPr>
              <w:widowControl/>
              <w:wordWrap/>
              <w:autoSpaceDE/>
              <w:autoSpaceDN/>
              <w:spacing w:after="0" w:line="240" w:lineRule="auto"/>
              <w:ind w:hanging="90"/>
              <w:rPr>
                <w:rFonts w:asciiTheme="majorBidi" w:eastAsia="Times New Roman" w:hAnsiTheme="majorBidi" w:cstheme="majorBidi"/>
                <w:b/>
                <w:bCs/>
                <w:kern w:val="0"/>
                <w:sz w:val="18"/>
                <w:szCs w:val="18"/>
                <w:lang w:eastAsia="en-US"/>
              </w:rPr>
            </w:pPr>
            <w:r>
              <w:rPr>
                <w:rFonts w:asciiTheme="majorBidi" w:eastAsia="Times New Roman" w:hAnsiTheme="majorBidi" w:cstheme="majorBidi"/>
                <w:b/>
                <w:bCs/>
                <w:kern w:val="0"/>
                <w:sz w:val="18"/>
                <w:szCs w:val="18"/>
                <w:lang w:eastAsia="en-US"/>
              </w:rPr>
              <w:t>Cronbach's Alpha</w:t>
            </w:r>
          </w:p>
        </w:tc>
        <w:tc>
          <w:tcPr>
            <w:tcW w:w="1303" w:type="pct"/>
            <w:tcBorders>
              <w:top w:val="single" w:sz="4" w:space="0" w:color="auto"/>
              <w:left w:val="nil"/>
              <w:bottom w:val="single" w:sz="4" w:space="0" w:color="auto"/>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b/>
                <w:bCs/>
                <w:kern w:val="0"/>
                <w:sz w:val="18"/>
                <w:szCs w:val="18"/>
                <w:lang w:eastAsia="en-US"/>
              </w:rPr>
            </w:pPr>
            <w:r>
              <w:rPr>
                <w:rFonts w:asciiTheme="majorBidi" w:eastAsia="Times New Roman" w:hAnsiTheme="majorBidi" w:cstheme="majorBidi"/>
                <w:b/>
                <w:bCs/>
                <w:kern w:val="0"/>
                <w:sz w:val="18"/>
                <w:szCs w:val="18"/>
                <w:lang w:eastAsia="en-US"/>
              </w:rPr>
              <w:t>Number of Items</w:t>
            </w:r>
          </w:p>
        </w:tc>
      </w:tr>
      <w:tr w:rsidR="00CF1981" w:rsidTr="00BB71D6">
        <w:trPr>
          <w:trHeight w:val="279"/>
        </w:trPr>
        <w:tc>
          <w:tcPr>
            <w:tcW w:w="2344" w:type="pct"/>
            <w:tcBorders>
              <w:top w:val="nil"/>
              <w:left w:val="nil"/>
              <w:bottom w:val="nil"/>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kern w:val="0"/>
                <w:sz w:val="18"/>
                <w:szCs w:val="18"/>
                <w:lang w:eastAsia="en-US"/>
              </w:rPr>
              <w:t>Overall reliability analysis</w:t>
            </w:r>
          </w:p>
        </w:tc>
        <w:tc>
          <w:tcPr>
            <w:tcW w:w="1353" w:type="pct"/>
            <w:tcBorders>
              <w:top w:val="nil"/>
              <w:left w:val="nil"/>
              <w:bottom w:val="nil"/>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kern w:val="0"/>
                <w:sz w:val="18"/>
                <w:szCs w:val="18"/>
                <w:lang w:eastAsia="en-US"/>
              </w:rPr>
              <w:t>0.789</w:t>
            </w:r>
          </w:p>
        </w:tc>
        <w:tc>
          <w:tcPr>
            <w:tcW w:w="1303" w:type="pct"/>
            <w:tcBorders>
              <w:top w:val="nil"/>
              <w:left w:val="nil"/>
              <w:bottom w:val="nil"/>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kern w:val="0"/>
                <w:sz w:val="18"/>
                <w:szCs w:val="18"/>
                <w:lang w:eastAsia="en-US"/>
              </w:rPr>
              <w:t>71</w:t>
            </w:r>
          </w:p>
        </w:tc>
      </w:tr>
      <w:tr w:rsidR="00CF1981" w:rsidTr="00BB71D6">
        <w:trPr>
          <w:trHeight w:val="279"/>
        </w:trPr>
        <w:tc>
          <w:tcPr>
            <w:tcW w:w="2344" w:type="pct"/>
            <w:tcBorders>
              <w:top w:val="nil"/>
              <w:left w:val="nil"/>
              <w:bottom w:val="nil"/>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bCs/>
                <w:kern w:val="0"/>
                <w:sz w:val="18"/>
                <w:szCs w:val="18"/>
                <w:lang w:eastAsia="en-US"/>
              </w:rPr>
              <w:t>Sponsoring Ministry (HEC)</w:t>
            </w:r>
          </w:p>
        </w:tc>
        <w:tc>
          <w:tcPr>
            <w:tcW w:w="1353" w:type="pct"/>
            <w:tcBorders>
              <w:top w:val="nil"/>
              <w:left w:val="nil"/>
              <w:bottom w:val="nil"/>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kern w:val="0"/>
                <w:sz w:val="18"/>
                <w:szCs w:val="18"/>
                <w:lang w:eastAsia="en-US"/>
              </w:rPr>
              <w:t>0.613</w:t>
            </w:r>
          </w:p>
        </w:tc>
        <w:tc>
          <w:tcPr>
            <w:tcW w:w="1303" w:type="pct"/>
            <w:tcBorders>
              <w:top w:val="nil"/>
              <w:left w:val="nil"/>
              <w:bottom w:val="nil"/>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kern w:val="0"/>
                <w:sz w:val="18"/>
                <w:szCs w:val="18"/>
                <w:lang w:eastAsia="en-US"/>
              </w:rPr>
              <w:t>8</w:t>
            </w:r>
          </w:p>
        </w:tc>
      </w:tr>
      <w:tr w:rsidR="00CF1981" w:rsidTr="00BB71D6">
        <w:trPr>
          <w:trHeight w:val="534"/>
        </w:trPr>
        <w:tc>
          <w:tcPr>
            <w:tcW w:w="2344" w:type="pct"/>
            <w:tcBorders>
              <w:top w:val="nil"/>
              <w:left w:val="nil"/>
              <w:bottom w:val="nil"/>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bCs/>
                <w:kern w:val="0"/>
                <w:sz w:val="18"/>
                <w:szCs w:val="18"/>
                <w:lang w:eastAsia="en-US"/>
              </w:rPr>
              <w:t>Higher Education Institutions (HEI)</w:t>
            </w:r>
          </w:p>
        </w:tc>
        <w:tc>
          <w:tcPr>
            <w:tcW w:w="1353" w:type="pct"/>
            <w:tcBorders>
              <w:top w:val="nil"/>
              <w:left w:val="nil"/>
              <w:bottom w:val="nil"/>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kern w:val="0"/>
                <w:sz w:val="18"/>
                <w:szCs w:val="18"/>
                <w:lang w:eastAsia="en-US"/>
              </w:rPr>
              <w:t>0.799</w:t>
            </w:r>
          </w:p>
        </w:tc>
        <w:tc>
          <w:tcPr>
            <w:tcW w:w="1303" w:type="pct"/>
            <w:tcBorders>
              <w:top w:val="nil"/>
              <w:left w:val="nil"/>
              <w:bottom w:val="nil"/>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kern w:val="0"/>
                <w:sz w:val="18"/>
                <w:szCs w:val="18"/>
                <w:lang w:eastAsia="en-US"/>
              </w:rPr>
              <w:t>19</w:t>
            </w:r>
          </w:p>
        </w:tc>
      </w:tr>
      <w:tr w:rsidR="00CF1981" w:rsidTr="00BB71D6">
        <w:trPr>
          <w:trHeight w:val="266"/>
        </w:trPr>
        <w:tc>
          <w:tcPr>
            <w:tcW w:w="2344" w:type="pct"/>
            <w:tcBorders>
              <w:top w:val="nil"/>
              <w:left w:val="nil"/>
              <w:bottom w:val="nil"/>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bCs/>
                <w:kern w:val="0"/>
                <w:sz w:val="18"/>
                <w:szCs w:val="18"/>
                <w:lang w:eastAsia="en-US"/>
              </w:rPr>
              <w:t>Consultant (CON)</w:t>
            </w:r>
          </w:p>
        </w:tc>
        <w:tc>
          <w:tcPr>
            <w:tcW w:w="1353" w:type="pct"/>
            <w:tcBorders>
              <w:top w:val="nil"/>
              <w:left w:val="nil"/>
              <w:bottom w:val="nil"/>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kern w:val="0"/>
                <w:sz w:val="18"/>
                <w:szCs w:val="18"/>
                <w:lang w:eastAsia="en-US"/>
              </w:rPr>
              <w:t>0.702</w:t>
            </w:r>
          </w:p>
        </w:tc>
        <w:tc>
          <w:tcPr>
            <w:tcW w:w="1303" w:type="pct"/>
            <w:tcBorders>
              <w:top w:val="nil"/>
              <w:left w:val="nil"/>
              <w:bottom w:val="nil"/>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kern w:val="0"/>
                <w:sz w:val="18"/>
                <w:szCs w:val="18"/>
                <w:lang w:eastAsia="en-US"/>
              </w:rPr>
              <w:t>11</w:t>
            </w:r>
          </w:p>
        </w:tc>
      </w:tr>
      <w:tr w:rsidR="00CF1981" w:rsidTr="00BB71D6">
        <w:trPr>
          <w:trHeight w:val="266"/>
        </w:trPr>
        <w:tc>
          <w:tcPr>
            <w:tcW w:w="2344" w:type="pct"/>
            <w:tcBorders>
              <w:top w:val="nil"/>
              <w:left w:val="nil"/>
              <w:bottom w:val="nil"/>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bCs/>
                <w:kern w:val="0"/>
                <w:sz w:val="18"/>
                <w:szCs w:val="18"/>
                <w:lang w:eastAsia="en-US"/>
              </w:rPr>
              <w:t>Contractor (COT)</w:t>
            </w:r>
          </w:p>
        </w:tc>
        <w:tc>
          <w:tcPr>
            <w:tcW w:w="1353" w:type="pct"/>
            <w:tcBorders>
              <w:top w:val="nil"/>
              <w:left w:val="nil"/>
              <w:bottom w:val="nil"/>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kern w:val="0"/>
                <w:sz w:val="18"/>
                <w:szCs w:val="18"/>
                <w:lang w:eastAsia="en-US"/>
              </w:rPr>
              <w:t>0.739</w:t>
            </w:r>
          </w:p>
        </w:tc>
        <w:tc>
          <w:tcPr>
            <w:tcW w:w="1303" w:type="pct"/>
            <w:tcBorders>
              <w:top w:val="nil"/>
              <w:left w:val="nil"/>
              <w:bottom w:val="nil"/>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kern w:val="0"/>
                <w:sz w:val="18"/>
                <w:szCs w:val="18"/>
                <w:lang w:eastAsia="en-US"/>
              </w:rPr>
              <w:t>16</w:t>
            </w:r>
          </w:p>
        </w:tc>
      </w:tr>
      <w:tr w:rsidR="00CF1981" w:rsidTr="00BB71D6">
        <w:trPr>
          <w:trHeight w:val="266"/>
        </w:trPr>
        <w:tc>
          <w:tcPr>
            <w:tcW w:w="2344" w:type="pct"/>
            <w:tcBorders>
              <w:top w:val="nil"/>
              <w:left w:val="nil"/>
              <w:bottom w:val="nil"/>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bCs/>
                <w:kern w:val="0"/>
                <w:sz w:val="18"/>
                <w:szCs w:val="18"/>
                <w:lang w:eastAsia="en-US"/>
              </w:rPr>
              <w:t>Materials (MA)</w:t>
            </w:r>
          </w:p>
        </w:tc>
        <w:tc>
          <w:tcPr>
            <w:tcW w:w="1353" w:type="pct"/>
            <w:tcBorders>
              <w:top w:val="nil"/>
              <w:left w:val="nil"/>
              <w:bottom w:val="nil"/>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kern w:val="0"/>
                <w:sz w:val="18"/>
                <w:szCs w:val="18"/>
                <w:lang w:eastAsia="en-US"/>
              </w:rPr>
              <w:t>0.85</w:t>
            </w:r>
          </w:p>
        </w:tc>
        <w:tc>
          <w:tcPr>
            <w:tcW w:w="1303" w:type="pct"/>
            <w:tcBorders>
              <w:top w:val="nil"/>
              <w:left w:val="nil"/>
              <w:bottom w:val="nil"/>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kern w:val="0"/>
                <w:sz w:val="18"/>
                <w:szCs w:val="18"/>
                <w:lang w:eastAsia="en-US"/>
              </w:rPr>
              <w:t>6</w:t>
            </w:r>
          </w:p>
        </w:tc>
      </w:tr>
      <w:tr w:rsidR="00CF1981" w:rsidTr="00BB71D6">
        <w:trPr>
          <w:trHeight w:val="266"/>
        </w:trPr>
        <w:tc>
          <w:tcPr>
            <w:tcW w:w="2344" w:type="pct"/>
            <w:tcBorders>
              <w:top w:val="nil"/>
              <w:left w:val="nil"/>
              <w:bottom w:val="single" w:sz="4" w:space="0" w:color="auto"/>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bCs/>
                <w:kern w:val="0"/>
                <w:sz w:val="18"/>
                <w:szCs w:val="18"/>
                <w:lang w:eastAsia="en-US"/>
              </w:rPr>
              <w:t>External (EX)</w:t>
            </w:r>
          </w:p>
        </w:tc>
        <w:tc>
          <w:tcPr>
            <w:tcW w:w="1353" w:type="pct"/>
            <w:tcBorders>
              <w:top w:val="nil"/>
              <w:left w:val="nil"/>
              <w:bottom w:val="single" w:sz="4" w:space="0" w:color="auto"/>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kern w:val="0"/>
                <w:sz w:val="18"/>
                <w:szCs w:val="18"/>
                <w:lang w:eastAsia="en-US"/>
              </w:rPr>
              <w:t>0.636</w:t>
            </w:r>
          </w:p>
        </w:tc>
        <w:tc>
          <w:tcPr>
            <w:tcW w:w="1303" w:type="pct"/>
            <w:tcBorders>
              <w:top w:val="nil"/>
              <w:left w:val="nil"/>
              <w:bottom w:val="single" w:sz="4" w:space="0" w:color="auto"/>
              <w:right w:val="nil"/>
            </w:tcBorders>
            <w:shd w:val="clear" w:color="000000" w:fill="FFFFFF"/>
            <w:vAlign w:val="center"/>
          </w:tcPr>
          <w:p w:rsidR="00CF1981" w:rsidRDefault="00CF1981" w:rsidP="00BB71D6">
            <w:pPr>
              <w:widowControl/>
              <w:wordWrap/>
              <w:autoSpaceDE/>
              <w:autoSpaceDN/>
              <w:spacing w:after="0" w:line="240" w:lineRule="auto"/>
              <w:rPr>
                <w:rFonts w:asciiTheme="majorBidi" w:eastAsia="Times New Roman" w:hAnsiTheme="majorBidi" w:cstheme="majorBidi"/>
                <w:kern w:val="0"/>
                <w:sz w:val="18"/>
                <w:szCs w:val="18"/>
                <w:lang w:eastAsia="en-US"/>
              </w:rPr>
            </w:pPr>
            <w:r>
              <w:rPr>
                <w:rFonts w:asciiTheme="majorBidi" w:eastAsia="Times New Roman" w:hAnsiTheme="majorBidi" w:cstheme="majorBidi"/>
                <w:kern w:val="0"/>
                <w:sz w:val="18"/>
                <w:szCs w:val="18"/>
                <w:lang w:eastAsia="en-US"/>
              </w:rPr>
              <w:t>7</w:t>
            </w:r>
          </w:p>
        </w:tc>
      </w:tr>
    </w:tbl>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hAnsiTheme="majorBidi" w:cstheme="majorBidi"/>
          <w:sz w:val="22"/>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Relative Importance Index (RII)</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&lt;EndNote&gt;&lt;Cite&gt;&lt;Author&gt;Ali&lt;/Author&gt;&lt;Year&gt;2020&lt;/Year&gt;&lt;RecNum&gt;34&lt;/RecNum&gt;&lt;DisplayText&gt;(Ali et al., 2020)&lt;/DisplayText&gt;&lt;record&gt;&lt;rec-number&gt;34&lt;/rec-number&gt;&lt;foreign-keys&gt;&lt;key app="EN" db-id="vfxaxssab220zke05fbvp0atztvft95dwrpz" timestamp="1663764264"&gt;34&lt;/key&gt;&lt;/foreign-keys&gt;&lt;ref-type name="Journal Article"&gt;17&lt;/ref-type&gt;&lt;contributors&gt;&lt;authors&gt;&lt;author&gt;Ali, Mirza&lt;/author&gt;&lt;author&gt;Iqbal, Shahid&lt;/author&gt;&lt;author&gt;Iqbal, Qaiser&lt;/author&gt;&lt;/authors&gt;&lt;/contributors&gt;&lt;titles&gt;&lt;title&gt;Causes of Delay in the Establishment of Public Sector University in Newly Merged District’s of KP, Pakistan&lt;/title&gt;&lt;secondary-title&gt;International Journal of Engineering Works&lt;/secondary-title&gt;&lt;/titles&gt;&lt;periodical&gt;&lt;full-title&gt;International Journal of Engineering Works&lt;/full-title&gt;&lt;/periodical&gt;&lt;pages&gt;221-227&lt;/pages&gt;&lt;volume&gt;7&lt;/volume&gt;&lt;number&gt;05&lt;/number&gt;&lt;dates&gt;&lt;year&gt;2020&lt;/year&gt;&lt;/dates&gt;&lt;urls&gt;&lt;/urls&gt;&lt;/record&gt;&lt;/Cite&gt;&lt;/EndNote&gt;</w:instrText>
      </w:r>
      <w:r>
        <w:rPr>
          <w:rFonts w:asciiTheme="majorBidi" w:eastAsia="HYSinMyeongJo-Medium" w:hAnsiTheme="majorBidi" w:cstheme="majorBidi"/>
          <w:sz w:val="22"/>
          <w:shd w:val="clear" w:color="auto" w:fill="FFFFFF"/>
        </w:rPr>
        <w:fldChar w:fldCharType="separate"/>
      </w:r>
      <w:hyperlink w:anchor="_ENREF_3" w:tooltip="Ali, 2020 #34" w:history="1">
        <w:r>
          <w:rPr>
            <w:rFonts w:asciiTheme="majorBidi" w:eastAsia="HYSinMyeongJo-Medium" w:hAnsiTheme="majorBidi" w:cstheme="majorBidi"/>
            <w:sz w:val="22"/>
            <w:shd w:val="clear" w:color="auto" w:fill="FFFFFF"/>
          </w:rPr>
          <w:t>Ali et al., (2020</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and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&lt;EndNote&gt;&lt;Cite&gt;&lt;Author&gt;Olawale&lt;/Author&gt;&lt;Year&gt;2013&lt;/Year&gt;&lt;RecNum&gt;54&lt;/RecNum&gt;&lt;DisplayText&gt;(Olawale &amp;amp; Sun, 2013)&lt;/DisplayText&gt;&lt;record&gt;&lt;rec-number&gt;54&lt;/rec-number&gt;&lt;foreign-keys&gt;&lt;key app="EN" db-id="vfxaxssab220zke05fbvp0atztvft95dwrpz" timestamp="1665197686"&gt;54&lt;/key&gt;&lt;/foreign-keys&gt;&lt;ref-type name="Journal Article"&gt;17&lt;/ref-type&gt;&lt;contributors&gt;&lt;authors&gt;&lt;author&gt;Olawale, Yakubu&lt;/author&gt;&lt;author&gt;Sun, Ming&lt;/author&gt;&lt;/authors&gt;&lt;/contributors&gt;&lt;titles&gt;&lt;title&gt;PCIM: Project control and inhibiting-factors management model&lt;/title&gt;&lt;secondary-title&gt;Journal of management in engineering&lt;/secondary-title&gt;&lt;/titles&gt;&lt;periodical&gt;&lt;full-title&gt;Journal of management in engineering&lt;/full-title&gt;&lt;/periodical&gt;&lt;pages&gt;60-70&lt;/pages&gt;&lt;volume&gt;29&lt;/volume&gt;&lt;number&gt;1&lt;/number&gt;&lt;dates&gt;&lt;year&gt;2013&lt;/year&gt;&lt;/dates&gt;&lt;isbn&gt;0742-597X&lt;/isbn&gt;&lt;urls&gt;&lt;/urls&gt;&lt;/record&gt;&lt;/Cite&gt;&lt;/EndNote&gt;</w:instrText>
      </w:r>
      <w:r>
        <w:rPr>
          <w:rFonts w:asciiTheme="majorBidi" w:eastAsia="HYSinMyeongJo-Medium" w:hAnsiTheme="majorBidi" w:cstheme="majorBidi"/>
          <w:sz w:val="22"/>
          <w:shd w:val="clear" w:color="auto" w:fill="FFFFFF"/>
        </w:rPr>
        <w:fldChar w:fldCharType="separate"/>
      </w:r>
      <w:hyperlink w:anchor="_ENREF_17" w:tooltip="Olawale, 2013 #54" w:history="1">
        <w:r>
          <w:rPr>
            <w:rFonts w:asciiTheme="majorBidi" w:eastAsia="HYSinMyeongJo-Medium" w:hAnsiTheme="majorBidi" w:cstheme="majorBidi"/>
            <w:sz w:val="22"/>
            <w:shd w:val="clear" w:color="auto" w:fill="FFFFFF"/>
          </w:rPr>
          <w:t>Olawale &amp; Sun, (2013</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have applied the RII method to define the ranking of delaying factors. This research has applied the same method to find the relative importance index. The following formula is used to calculate RII.</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 xml:space="preserve">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jc w:val="center"/>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 xml:space="preserve">(RII) = (∑W / (A*N) ------------------ </w:t>
      </w:r>
      <w:r>
        <w:rPr>
          <w:rFonts w:asciiTheme="majorBidi" w:eastAsia="HYSinMyeongJo-Medium" w:hAnsiTheme="majorBidi" w:cstheme="majorBidi"/>
          <w:b/>
          <w:bCs/>
          <w:sz w:val="22"/>
          <w:shd w:val="clear" w:color="auto" w:fill="FFFFFF"/>
        </w:rPr>
        <w:t>(4)</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Relative Importance Index (RII)</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RII indicates the relative importance index, W is the factor weightage by the respondents, A stands for the highest weightage (i.e., 5 in this case), and N is the number of respondents. The higher value of RII indicates the higher importance of delaying factors.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contextualSpacing/>
        <w:textAlignment w:val="baseline"/>
        <w:rPr>
          <w:rFonts w:asciiTheme="majorBidi" w:eastAsia="HYSinMyeongJo-Medium" w:hAnsiTheme="majorBidi" w:cstheme="majorBidi"/>
          <w:bCs/>
          <w:kern w:val="0"/>
          <w:sz w:val="22"/>
          <w:shd w:val="clear" w:color="auto" w:fill="FFFFFF"/>
        </w:rPr>
      </w:pPr>
      <w:bookmarkStart w:id="4" w:name="_Hlk71065860"/>
      <w:r>
        <w:rPr>
          <w:rFonts w:asciiTheme="majorBidi" w:eastAsia="HYSinMyeongJo-Medium" w:hAnsiTheme="majorBidi" w:cstheme="majorBidi"/>
          <w:bCs/>
          <w:kern w:val="0"/>
          <w:sz w:val="22"/>
          <w:shd w:val="clear" w:color="auto" w:fill="FFFFFF"/>
        </w:rPr>
        <w:t>Mean and Standard Deviation</w:t>
      </w:r>
      <w:bookmarkEnd w:id="4"/>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This study used the Arithmetic Mean value to perceive the bearing of diverse causing factors. In the below arithmetic mean </w:t>
      </w:r>
      <w:r>
        <w:rPr>
          <w:rFonts w:asciiTheme="majorBidi" w:eastAsia="HYSinMyeongJo-Medium" w:hAnsiTheme="majorBidi" w:cstheme="majorBidi"/>
          <w:sz w:val="22"/>
          <w:shd w:val="clear" w:color="auto" w:fill="FFFFFF"/>
        </w:rPr>
        <w:lastRenderedPageBreak/>
        <w:t xml:space="preserve">formula, Σ represents the sum of all the values of the factor, </w:t>
      </w:r>
      <m:oMath>
        <m:sSub>
          <m:sSubPr>
            <m:ctrlPr>
              <w:rPr>
                <w:rFonts w:ascii="Cambria Math" w:eastAsia="HYSinMyeongJo-Medium" w:hAnsi="Cambria Math" w:cstheme="majorBidi"/>
                <w:sz w:val="22"/>
                <w:shd w:val="clear" w:color="auto" w:fill="FFFFFF"/>
              </w:rPr>
            </m:ctrlPr>
          </m:sSubPr>
          <m:e>
            <m:r>
              <m:rPr>
                <m:sty m:val="p"/>
              </m:rPr>
              <w:rPr>
                <w:rFonts w:ascii="Cambria Math" w:eastAsia="HYSinMyeongJo-Medium" w:hAnsi="Cambria Math" w:cstheme="majorBidi"/>
                <w:sz w:val="22"/>
                <w:shd w:val="clear" w:color="auto" w:fill="FFFFFF"/>
              </w:rPr>
              <m:t>X</m:t>
            </m:r>
          </m:e>
          <m:sub>
            <m:r>
              <m:rPr>
                <m:sty m:val="p"/>
              </m:rPr>
              <w:rPr>
                <w:rFonts w:ascii="Cambria Math" w:eastAsia="HYSinMyeongJo-Medium" w:hAnsi="Cambria Math" w:cstheme="majorBidi"/>
                <w:sz w:val="22"/>
                <w:shd w:val="clear" w:color="auto" w:fill="FFFFFF"/>
              </w:rPr>
              <m:t>I</m:t>
            </m:r>
          </m:sub>
        </m:sSub>
      </m:oMath>
      <w:r>
        <w:rPr>
          <w:rFonts w:asciiTheme="majorBidi" w:eastAsia="HYSinMyeongJo-Medium" w:hAnsiTheme="majorBidi" w:cstheme="majorBidi"/>
          <w:sz w:val="22"/>
          <w:shd w:val="clear" w:color="auto" w:fill="FFFFFF"/>
        </w:rPr>
        <w:t xml:space="preserve"> Moreover, the entire number of annotations is epitomized by </w:t>
      </w:r>
      <m:oMath>
        <m:r>
          <m:rPr>
            <m:sty m:val="p"/>
          </m:rPr>
          <w:rPr>
            <w:rFonts w:ascii="Cambria Math" w:eastAsia="HYSinMyeongJo-Medium" w:hAnsi="Cambria Math" w:cstheme="majorBidi"/>
            <w:sz w:val="22"/>
            <w:shd w:val="clear" w:color="auto" w:fill="FFFFFF"/>
          </w:rPr>
          <m:t>n.</m:t>
        </m:r>
      </m:oMath>
      <w:r>
        <w:rPr>
          <w:rFonts w:asciiTheme="majorBidi" w:eastAsia="HYSinMyeongJo-Medium" w:hAnsiTheme="majorBidi" w:cstheme="majorBidi"/>
          <w:sz w:val="22"/>
          <w:shd w:val="clear" w:color="auto" w:fill="FFFFFF"/>
        </w:rPr>
        <w:t xml:space="preserve"> The arithmetically mean is.</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jc w:val="center"/>
        <w:textAlignment w:val="baseline"/>
        <w:rPr>
          <w:rFonts w:asciiTheme="majorBidi" w:eastAsia="HYSinMyeongJo-Medium" w:hAnsiTheme="majorBidi" w:cstheme="majorBidi"/>
          <w:sz w:val="22"/>
          <w:shd w:val="clear" w:color="auto" w:fill="FFFFFF"/>
        </w:rPr>
      </w:pPr>
      <m:oMath>
        <m:acc>
          <m:accPr>
            <m:chr m:val="̅"/>
            <m:ctrlPr>
              <w:rPr>
                <w:rFonts w:ascii="Cambria Math" w:eastAsia="HYSinMyeongJo-Medium" w:hAnsi="Cambria Math" w:cstheme="majorBidi"/>
                <w:sz w:val="22"/>
                <w:shd w:val="clear" w:color="auto" w:fill="FFFFFF"/>
              </w:rPr>
            </m:ctrlPr>
          </m:accPr>
          <m:e>
            <m:r>
              <m:rPr>
                <m:sty m:val="p"/>
              </m:rPr>
              <w:rPr>
                <w:rFonts w:ascii="Cambria Math" w:eastAsia="HYSinMyeongJo-Medium" w:hAnsi="Cambria Math" w:cstheme="majorBidi"/>
                <w:sz w:val="22"/>
                <w:shd w:val="clear" w:color="auto" w:fill="FFFFFF"/>
              </w:rPr>
              <m:t>X</m:t>
            </m:r>
          </m:e>
        </m:acc>
        <m:r>
          <m:rPr>
            <m:sty m:val="p"/>
          </m:rPr>
          <w:rPr>
            <w:rFonts w:ascii="Cambria Math" w:eastAsia="HYSinMyeongJo-Medium" w:hAnsi="Cambria Math" w:cstheme="majorBidi"/>
            <w:sz w:val="22"/>
            <w:shd w:val="clear" w:color="auto" w:fill="FFFFFF"/>
          </w:rPr>
          <m:t>=</m:t>
        </m:r>
        <m:f>
          <m:fPr>
            <m:ctrlPr>
              <w:rPr>
                <w:rFonts w:ascii="Cambria Math" w:eastAsia="HYSinMyeongJo-Medium" w:hAnsi="Cambria Math" w:cstheme="majorBidi"/>
                <w:sz w:val="22"/>
                <w:shd w:val="clear" w:color="auto" w:fill="FFFFFF"/>
              </w:rPr>
            </m:ctrlPr>
          </m:fPr>
          <m:num>
            <m:r>
              <m:rPr>
                <m:sty m:val="p"/>
              </m:rPr>
              <w:rPr>
                <w:rFonts w:ascii="Cambria Math" w:eastAsia="HYSinMyeongJo-Medium" w:hAnsi="Cambria Math" w:cstheme="majorBidi"/>
                <w:sz w:val="22"/>
                <w:shd w:val="clear" w:color="auto" w:fill="FFFFFF"/>
              </w:rPr>
              <m:t>Σ</m:t>
            </m:r>
            <m:sSub>
              <m:sSubPr>
                <m:ctrlPr>
                  <w:rPr>
                    <w:rFonts w:ascii="Cambria Math" w:eastAsia="HYSinMyeongJo-Medium" w:hAnsi="Cambria Math" w:cstheme="majorBidi"/>
                    <w:sz w:val="22"/>
                    <w:shd w:val="clear" w:color="auto" w:fill="FFFFFF"/>
                  </w:rPr>
                </m:ctrlPr>
              </m:sSubPr>
              <m:e>
                <m:r>
                  <m:rPr>
                    <m:sty m:val="p"/>
                  </m:rPr>
                  <w:rPr>
                    <w:rFonts w:ascii="Cambria Math" w:eastAsia="HYSinMyeongJo-Medium" w:hAnsi="Cambria Math" w:cstheme="majorBidi"/>
                    <w:sz w:val="22"/>
                    <w:shd w:val="clear" w:color="auto" w:fill="FFFFFF"/>
                  </w:rPr>
                  <m:t>Y</m:t>
                </m:r>
              </m:e>
              <m:sub>
                <m:r>
                  <m:rPr>
                    <m:sty m:val="p"/>
                  </m:rPr>
                  <w:rPr>
                    <w:rFonts w:ascii="Cambria Math" w:eastAsia="HYSinMyeongJo-Medium" w:hAnsi="Cambria Math" w:cstheme="majorBidi"/>
                    <w:sz w:val="22"/>
                    <w:shd w:val="clear" w:color="auto" w:fill="FFFFFF"/>
                  </w:rPr>
                  <m:t>i</m:t>
                </m:r>
              </m:sub>
            </m:sSub>
          </m:num>
          <m:den>
            <m:r>
              <m:rPr>
                <m:sty m:val="p"/>
              </m:rPr>
              <w:rPr>
                <w:rFonts w:ascii="Cambria Math" w:eastAsia="HYSinMyeongJo-Medium" w:hAnsi="Cambria Math" w:cstheme="majorBidi"/>
                <w:sz w:val="22"/>
                <w:shd w:val="clear" w:color="auto" w:fill="FFFFFF"/>
              </w:rPr>
              <m:t xml:space="preserve"> n</m:t>
            </m:r>
          </m:den>
        </m:f>
      </m:oMath>
      <w:r>
        <w:rPr>
          <w:rFonts w:asciiTheme="majorBidi" w:eastAsia="HYSinMyeongJo-Medium" w:hAnsiTheme="majorBidi" w:cstheme="majorBidi"/>
          <w:sz w:val="22"/>
          <w:shd w:val="clear" w:color="auto" w:fill="FFFFFF"/>
        </w:rPr>
        <w:t xml:space="preserve"> -------------------------------- </w:t>
      </w:r>
      <w:r>
        <w:rPr>
          <w:rFonts w:asciiTheme="majorBidi" w:eastAsia="HYSinMyeongJo-Medium" w:hAnsiTheme="majorBidi" w:cstheme="majorBidi"/>
          <w:b/>
          <w:bCs/>
          <w:sz w:val="22"/>
          <w:shd w:val="clear" w:color="auto" w:fill="FFFFFF"/>
        </w:rPr>
        <w:t>(5)</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The available data's standard deviation can be calculated using the following formula.</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jc w:val="center"/>
        <w:textAlignment w:val="baseline"/>
        <w:rPr>
          <w:rFonts w:asciiTheme="majorBidi" w:eastAsia="HYSinMyeongJo-Medium" w:hAnsiTheme="majorBidi" w:cstheme="majorBidi"/>
          <w:sz w:val="22"/>
          <w:shd w:val="clear" w:color="auto" w:fill="FFFFFF"/>
        </w:rPr>
      </w:pPr>
      <m:oMath>
        <m:r>
          <m:rPr>
            <m:sty m:val="p"/>
          </m:rPr>
          <w:rPr>
            <w:rFonts w:ascii="Cambria Math" w:eastAsia="HYSinMyeongJo-Medium" w:hAnsi="Cambria Math" w:cstheme="majorBidi"/>
            <w:sz w:val="22"/>
            <w:shd w:val="clear" w:color="auto" w:fill="FFFFFF"/>
          </w:rPr>
          <m:t>Std.D=</m:t>
        </m:r>
        <m:rad>
          <m:radPr>
            <m:degHide m:val="1"/>
            <m:ctrlPr>
              <w:rPr>
                <w:rFonts w:ascii="Cambria Math" w:eastAsia="HYSinMyeongJo-Medium" w:hAnsi="Cambria Math" w:cstheme="majorBidi"/>
                <w:sz w:val="22"/>
                <w:shd w:val="clear" w:color="auto" w:fill="FFFFFF"/>
              </w:rPr>
            </m:ctrlPr>
          </m:radPr>
          <m:deg/>
          <m:e>
            <m:f>
              <m:fPr>
                <m:ctrlPr>
                  <w:rPr>
                    <w:rFonts w:ascii="Cambria Math" w:eastAsia="HYSinMyeongJo-Medium" w:hAnsi="Cambria Math" w:cstheme="majorBidi"/>
                    <w:sz w:val="22"/>
                    <w:shd w:val="clear" w:color="auto" w:fill="FFFFFF"/>
                  </w:rPr>
                </m:ctrlPr>
              </m:fPr>
              <m:num>
                <m:r>
                  <m:rPr>
                    <m:sty m:val="p"/>
                  </m:rPr>
                  <w:rPr>
                    <w:rFonts w:ascii="Cambria Math" w:eastAsia="HYSinMyeongJo-Medium" w:hAnsi="Cambria Math" w:cstheme="majorBidi"/>
                    <w:sz w:val="22"/>
                    <w:shd w:val="clear" w:color="auto" w:fill="FFFFFF"/>
                  </w:rPr>
                  <m:t>Σ</m:t>
                </m:r>
                <m:d>
                  <m:dPr>
                    <m:ctrlPr>
                      <w:rPr>
                        <w:rFonts w:ascii="Cambria Math" w:eastAsia="HYSinMyeongJo-Medium" w:hAnsi="Cambria Math" w:cstheme="majorBidi"/>
                        <w:sz w:val="22"/>
                        <w:shd w:val="clear" w:color="auto" w:fill="FFFFFF"/>
                      </w:rPr>
                    </m:ctrlPr>
                  </m:dPr>
                  <m:e>
                    <m:sSup>
                      <m:sSupPr>
                        <m:ctrlPr>
                          <w:rPr>
                            <w:rFonts w:ascii="Cambria Math" w:eastAsia="HYSinMyeongJo-Medium" w:hAnsi="Cambria Math" w:cstheme="majorBidi"/>
                            <w:sz w:val="22"/>
                            <w:shd w:val="clear" w:color="auto" w:fill="FFFFFF"/>
                          </w:rPr>
                        </m:ctrlPr>
                      </m:sSupPr>
                      <m:e>
                        <m:r>
                          <m:rPr>
                            <m:sty m:val="p"/>
                          </m:rPr>
                          <w:rPr>
                            <w:rFonts w:ascii="Cambria Math" w:eastAsia="HYSinMyeongJo-Medium" w:hAnsi="Cambria Math" w:cstheme="majorBidi"/>
                            <w:sz w:val="22"/>
                            <w:shd w:val="clear" w:color="auto" w:fill="FFFFFF"/>
                          </w:rPr>
                          <m:t xml:space="preserve"> </m:t>
                        </m:r>
                        <m:d>
                          <m:dPr>
                            <m:ctrlPr>
                              <w:rPr>
                                <w:rFonts w:ascii="Cambria Math" w:eastAsia="HYSinMyeongJo-Medium" w:hAnsi="Cambria Math" w:cstheme="majorBidi"/>
                                <w:sz w:val="22"/>
                                <w:shd w:val="clear" w:color="auto" w:fill="FFFFFF"/>
                              </w:rPr>
                            </m:ctrlPr>
                          </m:dPr>
                          <m:e>
                            <m:r>
                              <m:rPr>
                                <m:sty m:val="p"/>
                              </m:rPr>
                              <w:rPr>
                                <w:rFonts w:ascii="Cambria Math" w:eastAsia="HYSinMyeongJo-Medium" w:hAnsi="Cambria Math" w:cstheme="majorBidi"/>
                                <w:sz w:val="22"/>
                                <w:shd w:val="clear" w:color="auto" w:fill="FFFFFF"/>
                              </w:rPr>
                              <m:t>X-</m:t>
                            </m:r>
                            <m:acc>
                              <m:accPr>
                                <m:chr m:val="̅"/>
                                <m:ctrlPr>
                                  <w:rPr>
                                    <w:rFonts w:ascii="Cambria Math" w:eastAsia="HYSinMyeongJo-Medium" w:hAnsi="Cambria Math" w:cstheme="majorBidi"/>
                                    <w:sz w:val="22"/>
                                    <w:shd w:val="clear" w:color="auto" w:fill="FFFFFF"/>
                                  </w:rPr>
                                </m:ctrlPr>
                              </m:accPr>
                              <m:e>
                                <m:r>
                                  <m:rPr>
                                    <m:sty m:val="p"/>
                                  </m:rPr>
                                  <w:rPr>
                                    <w:rFonts w:ascii="Cambria Math" w:eastAsia="HYSinMyeongJo-Medium" w:hAnsi="Cambria Math" w:cstheme="majorBidi"/>
                                    <w:sz w:val="22"/>
                                    <w:shd w:val="clear" w:color="auto" w:fill="FFFFFF"/>
                                  </w:rPr>
                                  <m:t>X</m:t>
                                </m:r>
                              </m:e>
                            </m:acc>
                          </m:e>
                        </m:d>
                      </m:e>
                      <m:sup>
                        <m:r>
                          <m:rPr>
                            <m:sty m:val="p"/>
                          </m:rPr>
                          <w:rPr>
                            <w:rFonts w:ascii="Cambria Math" w:eastAsia="HYSinMyeongJo-Medium" w:hAnsi="Cambria Math" w:cstheme="majorBidi"/>
                            <w:sz w:val="22"/>
                            <w:shd w:val="clear" w:color="auto" w:fill="FFFFFF"/>
                          </w:rPr>
                          <m:t>2</m:t>
                        </m:r>
                      </m:sup>
                    </m:sSup>
                  </m:e>
                </m:d>
              </m:num>
              <m:den>
                <m:r>
                  <m:rPr>
                    <m:sty m:val="p"/>
                  </m:rPr>
                  <w:rPr>
                    <w:rFonts w:ascii="Cambria Math" w:eastAsia="HYSinMyeongJo-Medium" w:hAnsi="Cambria Math" w:cstheme="majorBidi"/>
                    <w:sz w:val="22"/>
                    <w:shd w:val="clear" w:color="auto" w:fill="FFFFFF"/>
                  </w:rPr>
                  <m:t>n</m:t>
                </m:r>
              </m:den>
            </m:f>
          </m:e>
        </m:rad>
      </m:oMath>
      <w:r>
        <w:rPr>
          <w:rFonts w:asciiTheme="majorBidi" w:eastAsia="HYSinMyeongJo-Medium" w:hAnsiTheme="majorBidi" w:cstheme="majorBidi"/>
          <w:sz w:val="22"/>
          <w:shd w:val="clear" w:color="auto" w:fill="FFFFFF"/>
        </w:rPr>
        <w:t xml:space="preserve">  ---------------------- </w:t>
      </w:r>
      <w:r>
        <w:rPr>
          <w:rFonts w:asciiTheme="majorBidi" w:eastAsia="HYSinMyeongJo-Medium" w:hAnsiTheme="majorBidi" w:cstheme="majorBidi"/>
          <w:b/>
          <w:bCs/>
          <w:sz w:val="22"/>
          <w:shd w:val="clear" w:color="auto" w:fill="FFFFFF"/>
        </w:rPr>
        <w:t>(6)</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
          <w:kern w:val="0"/>
          <w:sz w:val="22"/>
          <w:shd w:val="clear" w:color="auto" w:fill="FFFFFF"/>
        </w:rPr>
      </w:pPr>
      <w:r>
        <w:rPr>
          <w:rFonts w:asciiTheme="majorBidi" w:eastAsia="HYSinMyeongJo-Medium" w:hAnsiTheme="majorBidi" w:cstheme="majorBidi"/>
          <w:b/>
          <w:kern w:val="0"/>
          <w:sz w:val="22"/>
          <w:shd w:val="clear" w:color="auto" w:fill="FFFFFF"/>
        </w:rPr>
        <w:t xml:space="preserve">Results and Discussion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 xml:space="preserve">Participant General Information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The result in Table 4 shows that all the respondents are male, at 100%. Most respondents are aged 31-40, with a percentage of 40.50. Table 5 shows that most respondents hold a bachelor’s degree, and 49% have 05-09 years of experience. Table 5 presents that all the respondents are classified as Clients (Public Sector Universities). According to their position title, the respondents were mostly Assistant Director Works and Deputy Director P&amp;D at 10.50%. The following table shows the general information of the participants.</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Cs/>
          <w:i/>
          <w:iCs/>
          <w:kern w:val="0"/>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Factors Ranking</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Table 5 shows that the research study comprises six broad groups further divided into sub-factor questions, and each of the groups was examined through Cronbach's Alpha. All the values show that the data are reliable for statistical approaches.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Table 6 illustrates that the delays associated with the project feedback received from public sector universities were isolated and analyzed on a case-by-case basis and ranked according to the RII methodology. Moreover, the data were passed through Mean level and Standard Deviation with the help of the data of RII. Table 8 elaborates on the complete details.</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
          <w:bCs/>
          <w:i/>
          <w:iCs/>
          <w:sz w:val="18"/>
          <w:szCs w:val="18"/>
          <w:shd w:val="clear" w:color="auto" w:fill="FFFFFF"/>
        </w:rPr>
      </w:pPr>
      <w:r>
        <w:rPr>
          <w:rFonts w:asciiTheme="majorBidi" w:eastAsia="HYSinMyeongJo-Medium" w:hAnsiTheme="majorBidi" w:cstheme="majorBidi"/>
          <w:b/>
          <w:bCs/>
          <w:i/>
          <w:iCs/>
          <w:sz w:val="18"/>
          <w:szCs w:val="18"/>
          <w:shd w:val="clear" w:color="auto" w:fill="FFFFFF"/>
        </w:rPr>
        <w:t xml:space="preserve">Table 4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i/>
          <w:iCs/>
          <w:sz w:val="18"/>
          <w:szCs w:val="18"/>
          <w:shd w:val="clear" w:color="auto" w:fill="FFFFFF"/>
        </w:rPr>
      </w:pPr>
      <w:r>
        <w:rPr>
          <w:rFonts w:asciiTheme="majorBidi" w:eastAsia="HYSinMyeongJo-Medium" w:hAnsiTheme="majorBidi" w:cstheme="majorBidi"/>
          <w:i/>
          <w:iCs/>
          <w:sz w:val="18"/>
          <w:szCs w:val="18"/>
          <w:shd w:val="clear" w:color="auto" w:fill="FFFFFF"/>
        </w:rPr>
        <w:t>Respondent's Demographic Information.</w:t>
      </w:r>
    </w:p>
    <w:tbl>
      <w:tblPr>
        <w:tblW w:w="7190" w:type="dxa"/>
        <w:tblLayout w:type="fixed"/>
        <w:tblCellMar>
          <w:left w:w="0" w:type="dxa"/>
          <w:right w:w="0" w:type="dxa"/>
        </w:tblCellMar>
        <w:tblLook w:val="04A0" w:firstRow="1" w:lastRow="0" w:firstColumn="1" w:lastColumn="0" w:noHBand="0" w:noVBand="1"/>
      </w:tblPr>
      <w:tblGrid>
        <w:gridCol w:w="2537"/>
        <w:gridCol w:w="1973"/>
        <w:gridCol w:w="2680"/>
      </w:tblGrid>
      <w:tr w:rsidR="00CF1981" w:rsidTr="00BB71D6">
        <w:trPr>
          <w:trHeight w:val="20"/>
        </w:trPr>
        <w:tc>
          <w:tcPr>
            <w:tcW w:w="2537" w:type="dxa"/>
            <w:tcBorders>
              <w:top w:val="single" w:sz="4" w:space="0" w:color="auto"/>
              <w:left w:val="nil"/>
              <w:bottom w:val="single" w:sz="4" w:space="0" w:color="000000"/>
              <w:right w:val="nil"/>
            </w:tcBorders>
          </w:tcPr>
          <w:p w:rsidR="00CF1981" w:rsidRDefault="00CF1981" w:rsidP="00BB71D6">
            <w:pPr>
              <w:pStyle w:val="TableParagraph"/>
              <w:spacing w:line="240" w:lineRule="auto"/>
              <w:jc w:val="both"/>
              <w:rPr>
                <w:rFonts w:asciiTheme="majorBidi" w:hAnsiTheme="majorBidi" w:cstheme="majorBidi"/>
                <w:b/>
                <w:bCs/>
                <w:sz w:val="18"/>
                <w:szCs w:val="18"/>
              </w:rPr>
            </w:pPr>
            <w:r>
              <w:rPr>
                <w:rFonts w:asciiTheme="majorBidi" w:hAnsiTheme="majorBidi" w:cstheme="majorBidi"/>
                <w:b/>
                <w:bCs/>
                <w:sz w:val="18"/>
                <w:szCs w:val="18"/>
              </w:rPr>
              <w:t>Characteristics</w:t>
            </w:r>
          </w:p>
        </w:tc>
        <w:tc>
          <w:tcPr>
            <w:tcW w:w="1973" w:type="dxa"/>
            <w:tcBorders>
              <w:top w:val="single" w:sz="4" w:space="0" w:color="auto"/>
              <w:left w:val="nil"/>
              <w:bottom w:val="single" w:sz="4" w:space="0" w:color="000000"/>
              <w:right w:val="nil"/>
            </w:tcBorders>
          </w:tcPr>
          <w:p w:rsidR="00CF1981" w:rsidRDefault="00CF1981" w:rsidP="00BB71D6">
            <w:pPr>
              <w:pStyle w:val="TableParagraph"/>
              <w:spacing w:line="240" w:lineRule="auto"/>
              <w:ind w:left="87" w:right="87"/>
              <w:jc w:val="both"/>
              <w:rPr>
                <w:rFonts w:asciiTheme="majorBidi" w:hAnsiTheme="majorBidi" w:cstheme="majorBidi"/>
                <w:b/>
                <w:bCs/>
                <w:sz w:val="18"/>
                <w:szCs w:val="18"/>
              </w:rPr>
            </w:pPr>
            <w:r>
              <w:rPr>
                <w:rFonts w:asciiTheme="majorBidi" w:hAnsiTheme="majorBidi" w:cstheme="majorBidi"/>
                <w:b/>
                <w:bCs/>
                <w:sz w:val="18"/>
                <w:szCs w:val="18"/>
              </w:rPr>
              <w:t>Frequency</w:t>
            </w:r>
          </w:p>
        </w:tc>
        <w:tc>
          <w:tcPr>
            <w:tcW w:w="2680" w:type="dxa"/>
            <w:tcBorders>
              <w:top w:val="single" w:sz="4" w:space="0" w:color="auto"/>
              <w:left w:val="nil"/>
              <w:bottom w:val="single" w:sz="4" w:space="0" w:color="000000"/>
              <w:right w:val="nil"/>
            </w:tcBorders>
          </w:tcPr>
          <w:p w:rsidR="00CF1981" w:rsidRDefault="00CF1981" w:rsidP="00BB71D6">
            <w:pPr>
              <w:pStyle w:val="TableParagraph"/>
              <w:spacing w:line="240" w:lineRule="auto"/>
              <w:ind w:right="91"/>
              <w:jc w:val="both"/>
              <w:rPr>
                <w:rFonts w:asciiTheme="majorBidi" w:hAnsiTheme="majorBidi" w:cstheme="majorBidi"/>
                <w:b/>
                <w:bCs/>
                <w:sz w:val="18"/>
                <w:szCs w:val="18"/>
              </w:rPr>
            </w:pPr>
            <w:r>
              <w:rPr>
                <w:rFonts w:asciiTheme="majorBidi" w:hAnsiTheme="majorBidi" w:cstheme="majorBidi"/>
                <w:b/>
                <w:bCs/>
                <w:sz w:val="18"/>
                <w:szCs w:val="18"/>
              </w:rPr>
              <w:t>Percentage</w:t>
            </w:r>
          </w:p>
        </w:tc>
      </w:tr>
      <w:tr w:rsidR="00CF1981" w:rsidTr="00BB71D6">
        <w:trPr>
          <w:trHeight w:val="20"/>
        </w:trPr>
        <w:tc>
          <w:tcPr>
            <w:tcW w:w="7190" w:type="dxa"/>
            <w:gridSpan w:val="3"/>
            <w:tcBorders>
              <w:top w:val="single" w:sz="4" w:space="0" w:color="000000"/>
              <w:left w:val="nil"/>
              <w:bottom w:val="single" w:sz="4" w:space="0" w:color="000000"/>
              <w:right w:val="nil"/>
            </w:tcBorders>
          </w:tcPr>
          <w:p w:rsidR="00CF1981" w:rsidRDefault="00CF1981" w:rsidP="00BB71D6">
            <w:pPr>
              <w:pStyle w:val="TableParagraph"/>
              <w:spacing w:line="240" w:lineRule="auto"/>
              <w:ind w:left="0" w:right="0"/>
              <w:rPr>
                <w:rFonts w:asciiTheme="majorBidi" w:hAnsiTheme="majorBidi" w:cstheme="majorBidi"/>
                <w:b/>
                <w:bCs/>
                <w:sz w:val="18"/>
                <w:szCs w:val="18"/>
              </w:rPr>
            </w:pPr>
            <w:r>
              <w:rPr>
                <w:rFonts w:asciiTheme="majorBidi" w:hAnsiTheme="majorBidi" w:cstheme="majorBidi"/>
                <w:b/>
                <w:bCs/>
                <w:sz w:val="18"/>
                <w:szCs w:val="18"/>
              </w:rPr>
              <w:t>Gender</w:t>
            </w:r>
          </w:p>
        </w:tc>
      </w:tr>
      <w:tr w:rsidR="00CF1981" w:rsidTr="00BB71D6">
        <w:trPr>
          <w:trHeight w:val="20"/>
        </w:trPr>
        <w:tc>
          <w:tcPr>
            <w:tcW w:w="2537" w:type="dxa"/>
            <w:tcBorders>
              <w:top w:val="single" w:sz="4" w:space="0" w:color="000000"/>
              <w:left w:val="nil"/>
              <w:bottom w:val="nil"/>
              <w:right w:val="nil"/>
            </w:tcBorders>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Male</w:t>
            </w:r>
          </w:p>
        </w:tc>
        <w:tc>
          <w:tcPr>
            <w:tcW w:w="1973" w:type="dxa"/>
            <w:tcBorders>
              <w:top w:val="single" w:sz="4" w:space="0" w:color="000000"/>
              <w:left w:val="nil"/>
              <w:bottom w:val="nil"/>
              <w:right w:val="nil"/>
            </w:tcBorders>
          </w:tcPr>
          <w:p w:rsidR="00CF1981" w:rsidRDefault="00CF1981" w:rsidP="00BB71D6">
            <w:pPr>
              <w:pStyle w:val="TableParagraph"/>
              <w:spacing w:line="240" w:lineRule="auto"/>
              <w:ind w:left="87" w:right="87"/>
              <w:jc w:val="both"/>
              <w:rPr>
                <w:rFonts w:asciiTheme="majorBidi" w:hAnsiTheme="majorBidi" w:cstheme="majorBidi"/>
                <w:sz w:val="18"/>
                <w:szCs w:val="18"/>
              </w:rPr>
            </w:pPr>
            <w:r>
              <w:rPr>
                <w:rFonts w:asciiTheme="majorBidi" w:hAnsiTheme="majorBidi" w:cstheme="majorBidi"/>
                <w:sz w:val="18"/>
                <w:szCs w:val="18"/>
              </w:rPr>
              <w:t>153</w:t>
            </w:r>
          </w:p>
        </w:tc>
        <w:tc>
          <w:tcPr>
            <w:tcW w:w="2680" w:type="dxa"/>
            <w:tcBorders>
              <w:top w:val="single" w:sz="4" w:space="0" w:color="000000"/>
              <w:left w:val="nil"/>
              <w:bottom w:val="nil"/>
              <w:right w:val="nil"/>
            </w:tcBorders>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100</w:t>
            </w:r>
          </w:p>
        </w:tc>
      </w:tr>
      <w:tr w:rsidR="00CF1981" w:rsidTr="00BB71D6">
        <w:trPr>
          <w:trHeight w:val="20"/>
        </w:trPr>
        <w:tc>
          <w:tcPr>
            <w:tcW w:w="2537" w:type="dxa"/>
            <w:tcBorders>
              <w:top w:val="nil"/>
              <w:left w:val="nil"/>
              <w:bottom w:val="single" w:sz="4" w:space="0" w:color="000000"/>
              <w:right w:val="nil"/>
            </w:tcBorders>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Female</w:t>
            </w:r>
          </w:p>
        </w:tc>
        <w:tc>
          <w:tcPr>
            <w:tcW w:w="1973" w:type="dxa"/>
            <w:tcBorders>
              <w:top w:val="nil"/>
              <w:left w:val="nil"/>
              <w:bottom w:val="single" w:sz="4" w:space="0" w:color="000000"/>
              <w:right w:val="nil"/>
            </w:tcBorders>
          </w:tcPr>
          <w:p w:rsidR="00CF1981" w:rsidRDefault="00CF1981" w:rsidP="00BB71D6">
            <w:pPr>
              <w:pStyle w:val="TableParagraph"/>
              <w:spacing w:line="240" w:lineRule="auto"/>
              <w:ind w:left="87" w:right="87"/>
              <w:jc w:val="both"/>
              <w:rPr>
                <w:rFonts w:asciiTheme="majorBidi" w:hAnsiTheme="majorBidi" w:cstheme="majorBidi"/>
                <w:sz w:val="18"/>
                <w:szCs w:val="18"/>
              </w:rPr>
            </w:pPr>
            <w:r>
              <w:rPr>
                <w:rFonts w:asciiTheme="majorBidi" w:hAnsiTheme="majorBidi" w:cstheme="majorBidi"/>
                <w:sz w:val="18"/>
                <w:szCs w:val="18"/>
              </w:rPr>
              <w:t>0.0</w:t>
            </w:r>
          </w:p>
        </w:tc>
        <w:tc>
          <w:tcPr>
            <w:tcW w:w="2680" w:type="dxa"/>
            <w:tcBorders>
              <w:top w:val="nil"/>
              <w:left w:val="nil"/>
              <w:bottom w:val="single" w:sz="4" w:space="0" w:color="000000"/>
              <w:right w:val="nil"/>
            </w:tcBorders>
          </w:tcPr>
          <w:p w:rsidR="00CF1981" w:rsidRDefault="00CF1981" w:rsidP="00BB71D6">
            <w:pPr>
              <w:pStyle w:val="TableParagraph"/>
              <w:spacing w:line="240" w:lineRule="auto"/>
              <w:ind w:right="91"/>
              <w:jc w:val="both"/>
              <w:rPr>
                <w:rFonts w:asciiTheme="majorBidi" w:hAnsiTheme="majorBidi" w:cstheme="majorBidi"/>
                <w:sz w:val="18"/>
                <w:szCs w:val="18"/>
              </w:rPr>
            </w:pPr>
            <w:r>
              <w:rPr>
                <w:rFonts w:asciiTheme="majorBidi" w:hAnsiTheme="majorBidi" w:cstheme="majorBidi"/>
                <w:sz w:val="18"/>
                <w:szCs w:val="18"/>
              </w:rPr>
              <w:t>0.0</w:t>
            </w:r>
          </w:p>
        </w:tc>
      </w:tr>
      <w:tr w:rsidR="00CF1981" w:rsidTr="00BB71D6">
        <w:trPr>
          <w:trHeight w:val="20"/>
        </w:trPr>
        <w:tc>
          <w:tcPr>
            <w:tcW w:w="7190" w:type="dxa"/>
            <w:gridSpan w:val="3"/>
            <w:tcBorders>
              <w:top w:val="single" w:sz="4" w:space="0" w:color="000000"/>
              <w:left w:val="nil"/>
              <w:bottom w:val="single" w:sz="4" w:space="0" w:color="000000"/>
              <w:right w:val="nil"/>
            </w:tcBorders>
          </w:tcPr>
          <w:p w:rsidR="00CF1981" w:rsidRDefault="00CF1981" w:rsidP="00BB71D6">
            <w:pPr>
              <w:pStyle w:val="TableParagraph"/>
              <w:spacing w:line="240" w:lineRule="auto"/>
              <w:ind w:left="0" w:right="0"/>
              <w:rPr>
                <w:rFonts w:asciiTheme="majorBidi" w:hAnsiTheme="majorBidi" w:cstheme="majorBidi"/>
                <w:b/>
                <w:bCs/>
                <w:sz w:val="18"/>
                <w:szCs w:val="18"/>
              </w:rPr>
            </w:pPr>
            <w:r>
              <w:rPr>
                <w:rFonts w:asciiTheme="majorBidi" w:hAnsiTheme="majorBidi" w:cstheme="majorBidi"/>
                <w:b/>
                <w:bCs/>
                <w:sz w:val="18"/>
                <w:szCs w:val="18"/>
              </w:rPr>
              <w:t>Age</w:t>
            </w:r>
          </w:p>
        </w:tc>
      </w:tr>
      <w:tr w:rsidR="00CF1981" w:rsidTr="00BB71D6">
        <w:trPr>
          <w:trHeight w:val="20"/>
        </w:trPr>
        <w:tc>
          <w:tcPr>
            <w:tcW w:w="2537" w:type="dxa"/>
            <w:tcBorders>
              <w:top w:val="single" w:sz="4" w:space="0" w:color="000000"/>
              <w:left w:val="nil"/>
              <w:bottom w:val="nil"/>
              <w:right w:val="nil"/>
            </w:tcBorders>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21 to 30</w:t>
            </w:r>
          </w:p>
        </w:tc>
        <w:tc>
          <w:tcPr>
            <w:tcW w:w="1973" w:type="dxa"/>
            <w:tcBorders>
              <w:top w:val="single" w:sz="4" w:space="0" w:color="000000"/>
              <w:left w:val="nil"/>
              <w:bottom w:val="nil"/>
              <w:right w:val="nil"/>
            </w:tcBorders>
          </w:tcPr>
          <w:p w:rsidR="00CF1981" w:rsidRDefault="00CF1981" w:rsidP="00BB71D6">
            <w:pPr>
              <w:pStyle w:val="TableParagraph"/>
              <w:spacing w:line="240" w:lineRule="auto"/>
              <w:ind w:left="87" w:right="86"/>
              <w:jc w:val="both"/>
              <w:rPr>
                <w:rFonts w:asciiTheme="majorBidi" w:hAnsiTheme="majorBidi" w:cstheme="majorBidi"/>
                <w:sz w:val="18"/>
                <w:szCs w:val="18"/>
              </w:rPr>
            </w:pPr>
            <w:r>
              <w:rPr>
                <w:rFonts w:asciiTheme="majorBidi" w:hAnsiTheme="majorBidi" w:cstheme="majorBidi"/>
                <w:sz w:val="18"/>
                <w:szCs w:val="18"/>
              </w:rPr>
              <w:t>32</w:t>
            </w:r>
          </w:p>
        </w:tc>
        <w:tc>
          <w:tcPr>
            <w:tcW w:w="2680" w:type="dxa"/>
            <w:tcBorders>
              <w:top w:val="single" w:sz="4" w:space="0" w:color="000000"/>
              <w:left w:val="nil"/>
              <w:bottom w:val="nil"/>
              <w:right w:val="nil"/>
            </w:tcBorders>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20.90</w:t>
            </w:r>
          </w:p>
        </w:tc>
      </w:tr>
      <w:tr w:rsidR="00CF1981" w:rsidTr="00BB71D6">
        <w:trPr>
          <w:trHeight w:val="20"/>
        </w:trPr>
        <w:tc>
          <w:tcPr>
            <w:tcW w:w="2537"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31 to 40</w:t>
            </w:r>
          </w:p>
        </w:tc>
        <w:tc>
          <w:tcPr>
            <w:tcW w:w="1973" w:type="dxa"/>
          </w:tcPr>
          <w:p w:rsidR="00CF1981" w:rsidRDefault="00CF1981" w:rsidP="00BB71D6">
            <w:pPr>
              <w:pStyle w:val="TableParagraph"/>
              <w:spacing w:line="240" w:lineRule="auto"/>
              <w:ind w:left="87" w:right="86"/>
              <w:jc w:val="both"/>
              <w:rPr>
                <w:rFonts w:asciiTheme="majorBidi" w:hAnsiTheme="majorBidi" w:cstheme="majorBidi"/>
                <w:sz w:val="18"/>
                <w:szCs w:val="18"/>
              </w:rPr>
            </w:pPr>
            <w:r>
              <w:rPr>
                <w:rFonts w:asciiTheme="majorBidi" w:hAnsiTheme="majorBidi" w:cstheme="majorBidi"/>
                <w:sz w:val="18"/>
                <w:szCs w:val="18"/>
              </w:rPr>
              <w:t>62</w:t>
            </w:r>
          </w:p>
        </w:tc>
        <w:tc>
          <w:tcPr>
            <w:tcW w:w="2680"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40.50</w:t>
            </w:r>
          </w:p>
        </w:tc>
      </w:tr>
      <w:tr w:rsidR="00CF1981" w:rsidTr="00BB71D6">
        <w:trPr>
          <w:trHeight w:val="20"/>
        </w:trPr>
        <w:tc>
          <w:tcPr>
            <w:tcW w:w="2537"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41 to 50</w:t>
            </w:r>
          </w:p>
        </w:tc>
        <w:tc>
          <w:tcPr>
            <w:tcW w:w="1973" w:type="dxa"/>
          </w:tcPr>
          <w:p w:rsidR="00CF1981" w:rsidRDefault="00CF1981" w:rsidP="00BB71D6">
            <w:pPr>
              <w:pStyle w:val="TableParagraph"/>
              <w:spacing w:line="240" w:lineRule="auto"/>
              <w:ind w:left="87" w:right="86"/>
              <w:jc w:val="both"/>
              <w:rPr>
                <w:rFonts w:asciiTheme="majorBidi" w:hAnsiTheme="majorBidi" w:cstheme="majorBidi"/>
                <w:sz w:val="18"/>
                <w:szCs w:val="18"/>
              </w:rPr>
            </w:pPr>
            <w:r>
              <w:rPr>
                <w:rFonts w:asciiTheme="majorBidi" w:hAnsiTheme="majorBidi" w:cstheme="majorBidi"/>
                <w:sz w:val="18"/>
                <w:szCs w:val="18"/>
              </w:rPr>
              <w:t>39</w:t>
            </w:r>
          </w:p>
        </w:tc>
        <w:tc>
          <w:tcPr>
            <w:tcW w:w="2680"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25.50</w:t>
            </w:r>
          </w:p>
        </w:tc>
      </w:tr>
      <w:tr w:rsidR="00CF1981" w:rsidTr="00BB71D6">
        <w:trPr>
          <w:trHeight w:val="20"/>
        </w:trPr>
        <w:tc>
          <w:tcPr>
            <w:tcW w:w="2537"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Over 50</w:t>
            </w:r>
          </w:p>
        </w:tc>
        <w:tc>
          <w:tcPr>
            <w:tcW w:w="1973" w:type="dxa"/>
          </w:tcPr>
          <w:p w:rsidR="00CF1981" w:rsidRDefault="00CF1981" w:rsidP="00BB71D6">
            <w:pPr>
              <w:pStyle w:val="TableParagraph"/>
              <w:spacing w:line="240" w:lineRule="auto"/>
              <w:ind w:left="87" w:right="86"/>
              <w:jc w:val="both"/>
              <w:rPr>
                <w:rFonts w:asciiTheme="majorBidi" w:hAnsiTheme="majorBidi" w:cstheme="majorBidi"/>
                <w:sz w:val="18"/>
                <w:szCs w:val="18"/>
              </w:rPr>
            </w:pPr>
            <w:r>
              <w:rPr>
                <w:rFonts w:asciiTheme="majorBidi" w:hAnsiTheme="majorBidi" w:cstheme="majorBidi"/>
                <w:sz w:val="18"/>
                <w:szCs w:val="18"/>
              </w:rPr>
              <w:t>20</w:t>
            </w:r>
          </w:p>
        </w:tc>
        <w:tc>
          <w:tcPr>
            <w:tcW w:w="2680"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13.10</w:t>
            </w:r>
          </w:p>
        </w:tc>
      </w:tr>
      <w:tr w:rsidR="00CF1981" w:rsidTr="00BB71D6">
        <w:trPr>
          <w:trHeight w:val="20"/>
        </w:trPr>
        <w:tc>
          <w:tcPr>
            <w:tcW w:w="2537" w:type="dxa"/>
            <w:tcBorders>
              <w:top w:val="nil"/>
              <w:left w:val="nil"/>
              <w:bottom w:val="single" w:sz="4" w:space="0" w:color="000000"/>
              <w:right w:val="nil"/>
            </w:tcBorders>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Total</w:t>
            </w:r>
          </w:p>
        </w:tc>
        <w:tc>
          <w:tcPr>
            <w:tcW w:w="1973" w:type="dxa"/>
            <w:tcBorders>
              <w:top w:val="nil"/>
              <w:left w:val="nil"/>
              <w:bottom w:val="single" w:sz="4" w:space="0" w:color="000000"/>
              <w:right w:val="nil"/>
            </w:tcBorders>
          </w:tcPr>
          <w:p w:rsidR="00CF1981" w:rsidRDefault="00CF1981" w:rsidP="00BB71D6">
            <w:pPr>
              <w:pStyle w:val="TableParagraph"/>
              <w:spacing w:line="240" w:lineRule="auto"/>
              <w:ind w:left="87" w:right="86"/>
              <w:jc w:val="both"/>
              <w:rPr>
                <w:rFonts w:asciiTheme="majorBidi" w:hAnsiTheme="majorBidi" w:cstheme="majorBidi"/>
                <w:sz w:val="18"/>
                <w:szCs w:val="18"/>
              </w:rPr>
            </w:pPr>
            <w:r>
              <w:rPr>
                <w:rFonts w:asciiTheme="majorBidi" w:hAnsiTheme="majorBidi" w:cstheme="majorBidi"/>
                <w:sz w:val="18"/>
                <w:szCs w:val="18"/>
              </w:rPr>
              <w:t>153</w:t>
            </w:r>
          </w:p>
        </w:tc>
        <w:tc>
          <w:tcPr>
            <w:tcW w:w="2680" w:type="dxa"/>
            <w:tcBorders>
              <w:top w:val="nil"/>
              <w:left w:val="nil"/>
              <w:bottom w:val="single" w:sz="4" w:space="0" w:color="000000"/>
              <w:right w:val="nil"/>
            </w:tcBorders>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100.0</w:t>
            </w:r>
          </w:p>
        </w:tc>
      </w:tr>
      <w:tr w:rsidR="00CF1981" w:rsidTr="00BB71D6">
        <w:trPr>
          <w:trHeight w:val="20"/>
        </w:trPr>
        <w:tc>
          <w:tcPr>
            <w:tcW w:w="7190" w:type="dxa"/>
            <w:gridSpan w:val="3"/>
            <w:tcBorders>
              <w:top w:val="single" w:sz="4" w:space="0" w:color="000000"/>
              <w:left w:val="nil"/>
              <w:bottom w:val="single" w:sz="4" w:space="0" w:color="000000"/>
              <w:right w:val="nil"/>
            </w:tcBorders>
          </w:tcPr>
          <w:p w:rsidR="00CF1981" w:rsidRDefault="00CF1981" w:rsidP="00BB71D6">
            <w:pPr>
              <w:pStyle w:val="TableParagraph"/>
              <w:spacing w:line="240" w:lineRule="auto"/>
              <w:ind w:left="0" w:right="0"/>
              <w:rPr>
                <w:rFonts w:asciiTheme="majorBidi" w:hAnsiTheme="majorBidi" w:cstheme="majorBidi"/>
                <w:b/>
                <w:bCs/>
                <w:sz w:val="18"/>
                <w:szCs w:val="18"/>
              </w:rPr>
            </w:pPr>
            <w:r>
              <w:rPr>
                <w:rFonts w:asciiTheme="majorBidi" w:hAnsiTheme="majorBidi" w:cstheme="majorBidi"/>
                <w:b/>
                <w:bCs/>
                <w:sz w:val="18"/>
                <w:szCs w:val="18"/>
              </w:rPr>
              <w:lastRenderedPageBreak/>
              <w:t>Position</w:t>
            </w:r>
          </w:p>
        </w:tc>
      </w:tr>
      <w:tr w:rsidR="00CF1981" w:rsidTr="00BB71D6">
        <w:trPr>
          <w:trHeight w:val="20"/>
        </w:trPr>
        <w:tc>
          <w:tcPr>
            <w:tcW w:w="2537" w:type="dxa"/>
            <w:tcBorders>
              <w:top w:val="single" w:sz="4" w:space="0" w:color="000000"/>
              <w:left w:val="nil"/>
              <w:bottom w:val="nil"/>
              <w:right w:val="nil"/>
            </w:tcBorders>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PD</w:t>
            </w:r>
          </w:p>
        </w:tc>
        <w:tc>
          <w:tcPr>
            <w:tcW w:w="1973" w:type="dxa"/>
            <w:tcBorders>
              <w:top w:val="single" w:sz="4" w:space="0" w:color="000000"/>
              <w:left w:val="nil"/>
              <w:bottom w:val="nil"/>
              <w:right w:val="nil"/>
            </w:tcBorders>
          </w:tcPr>
          <w:p w:rsidR="00CF1981" w:rsidRDefault="00CF1981" w:rsidP="00BB71D6">
            <w:pPr>
              <w:pStyle w:val="TableParagraph"/>
              <w:spacing w:line="240" w:lineRule="auto"/>
              <w:ind w:left="87" w:right="86"/>
              <w:jc w:val="both"/>
              <w:rPr>
                <w:rFonts w:asciiTheme="majorBidi" w:hAnsiTheme="majorBidi" w:cstheme="majorBidi"/>
                <w:sz w:val="18"/>
                <w:szCs w:val="18"/>
              </w:rPr>
            </w:pPr>
            <w:r>
              <w:rPr>
                <w:rFonts w:asciiTheme="majorBidi" w:hAnsiTheme="majorBidi" w:cstheme="majorBidi"/>
                <w:sz w:val="18"/>
                <w:szCs w:val="18"/>
              </w:rPr>
              <w:t>11</w:t>
            </w:r>
          </w:p>
        </w:tc>
        <w:tc>
          <w:tcPr>
            <w:tcW w:w="2680" w:type="dxa"/>
            <w:tcBorders>
              <w:top w:val="single" w:sz="4" w:space="0" w:color="000000"/>
              <w:left w:val="nil"/>
              <w:bottom w:val="nil"/>
              <w:right w:val="nil"/>
            </w:tcBorders>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07.20</w:t>
            </w:r>
          </w:p>
        </w:tc>
      </w:tr>
      <w:tr w:rsidR="00CF1981" w:rsidTr="00BB71D6">
        <w:trPr>
          <w:trHeight w:val="20"/>
        </w:trPr>
        <w:tc>
          <w:tcPr>
            <w:tcW w:w="2537" w:type="dxa"/>
          </w:tcPr>
          <w:p w:rsidR="00CF1981" w:rsidRDefault="00CF1981" w:rsidP="00BB71D6">
            <w:pPr>
              <w:pStyle w:val="TableParagraph"/>
              <w:spacing w:line="240" w:lineRule="auto"/>
              <w:ind w:right="89"/>
              <w:jc w:val="both"/>
              <w:rPr>
                <w:rFonts w:asciiTheme="majorBidi" w:hAnsiTheme="majorBidi" w:cstheme="majorBidi"/>
                <w:sz w:val="18"/>
                <w:szCs w:val="18"/>
              </w:rPr>
            </w:pPr>
            <w:r>
              <w:rPr>
                <w:rFonts w:asciiTheme="majorBidi" w:hAnsiTheme="majorBidi" w:cstheme="majorBidi"/>
                <w:sz w:val="18"/>
                <w:szCs w:val="18"/>
              </w:rPr>
              <w:t>DoW</w:t>
            </w:r>
          </w:p>
        </w:tc>
        <w:tc>
          <w:tcPr>
            <w:tcW w:w="1973" w:type="dxa"/>
          </w:tcPr>
          <w:p w:rsidR="00CF1981" w:rsidRDefault="00CF1981" w:rsidP="00BB71D6">
            <w:pPr>
              <w:pStyle w:val="TableParagraph"/>
              <w:spacing w:line="240" w:lineRule="auto"/>
              <w:ind w:left="87" w:right="85"/>
              <w:jc w:val="both"/>
              <w:rPr>
                <w:rFonts w:asciiTheme="majorBidi" w:hAnsiTheme="majorBidi" w:cstheme="majorBidi"/>
                <w:sz w:val="18"/>
                <w:szCs w:val="18"/>
              </w:rPr>
            </w:pPr>
            <w:r>
              <w:rPr>
                <w:rFonts w:asciiTheme="majorBidi" w:hAnsiTheme="majorBidi" w:cstheme="majorBidi"/>
                <w:sz w:val="18"/>
                <w:szCs w:val="18"/>
              </w:rPr>
              <w:t>12</w:t>
            </w:r>
          </w:p>
        </w:tc>
        <w:tc>
          <w:tcPr>
            <w:tcW w:w="2680"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07.80</w:t>
            </w:r>
          </w:p>
        </w:tc>
      </w:tr>
      <w:tr w:rsidR="00CF1981" w:rsidTr="00BB71D6">
        <w:trPr>
          <w:trHeight w:val="20"/>
        </w:trPr>
        <w:tc>
          <w:tcPr>
            <w:tcW w:w="2537" w:type="dxa"/>
          </w:tcPr>
          <w:p w:rsidR="00CF1981" w:rsidRDefault="00CF1981" w:rsidP="00BB71D6">
            <w:pPr>
              <w:pStyle w:val="TableParagraph"/>
              <w:spacing w:line="240" w:lineRule="auto"/>
              <w:ind w:right="89"/>
              <w:jc w:val="both"/>
              <w:rPr>
                <w:rFonts w:asciiTheme="majorBidi" w:hAnsiTheme="majorBidi" w:cstheme="majorBidi"/>
                <w:sz w:val="18"/>
                <w:szCs w:val="18"/>
              </w:rPr>
            </w:pPr>
            <w:r>
              <w:rPr>
                <w:rFonts w:asciiTheme="majorBidi" w:hAnsiTheme="majorBidi" w:cstheme="majorBidi"/>
                <w:sz w:val="18"/>
                <w:szCs w:val="18"/>
              </w:rPr>
              <w:t>Dy. DW</w:t>
            </w:r>
          </w:p>
        </w:tc>
        <w:tc>
          <w:tcPr>
            <w:tcW w:w="1973" w:type="dxa"/>
          </w:tcPr>
          <w:p w:rsidR="00CF1981" w:rsidRDefault="00CF1981" w:rsidP="00BB71D6">
            <w:pPr>
              <w:pStyle w:val="TableParagraph"/>
              <w:spacing w:line="240" w:lineRule="auto"/>
              <w:ind w:left="87" w:right="85"/>
              <w:jc w:val="both"/>
              <w:rPr>
                <w:rFonts w:asciiTheme="majorBidi" w:hAnsiTheme="majorBidi" w:cstheme="majorBidi"/>
                <w:sz w:val="18"/>
                <w:szCs w:val="18"/>
              </w:rPr>
            </w:pPr>
            <w:r>
              <w:rPr>
                <w:rFonts w:asciiTheme="majorBidi" w:hAnsiTheme="majorBidi" w:cstheme="majorBidi"/>
                <w:sz w:val="18"/>
                <w:szCs w:val="18"/>
              </w:rPr>
              <w:t>15</w:t>
            </w:r>
          </w:p>
        </w:tc>
        <w:tc>
          <w:tcPr>
            <w:tcW w:w="2680"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09.80</w:t>
            </w:r>
          </w:p>
        </w:tc>
      </w:tr>
      <w:tr w:rsidR="00CF1981" w:rsidTr="00BB71D6">
        <w:trPr>
          <w:trHeight w:val="20"/>
        </w:trPr>
        <w:tc>
          <w:tcPr>
            <w:tcW w:w="2537"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Assist. DW</w:t>
            </w:r>
          </w:p>
        </w:tc>
        <w:tc>
          <w:tcPr>
            <w:tcW w:w="1973" w:type="dxa"/>
          </w:tcPr>
          <w:p w:rsidR="00CF1981" w:rsidRDefault="00CF1981" w:rsidP="00BB71D6">
            <w:pPr>
              <w:pStyle w:val="TableParagraph"/>
              <w:spacing w:line="240" w:lineRule="auto"/>
              <w:ind w:left="87" w:right="87"/>
              <w:jc w:val="both"/>
              <w:rPr>
                <w:rFonts w:asciiTheme="majorBidi" w:hAnsiTheme="majorBidi" w:cstheme="majorBidi"/>
                <w:sz w:val="18"/>
                <w:szCs w:val="18"/>
              </w:rPr>
            </w:pPr>
            <w:r>
              <w:rPr>
                <w:rFonts w:asciiTheme="majorBidi" w:hAnsiTheme="majorBidi" w:cstheme="majorBidi"/>
                <w:sz w:val="18"/>
                <w:szCs w:val="18"/>
              </w:rPr>
              <w:t>16</w:t>
            </w:r>
          </w:p>
        </w:tc>
        <w:tc>
          <w:tcPr>
            <w:tcW w:w="2680" w:type="dxa"/>
          </w:tcPr>
          <w:p w:rsidR="00CF1981" w:rsidRDefault="00CF1981" w:rsidP="00BB71D6">
            <w:pPr>
              <w:pStyle w:val="TableParagraph"/>
              <w:spacing w:line="240" w:lineRule="auto"/>
              <w:ind w:right="91"/>
              <w:jc w:val="both"/>
              <w:rPr>
                <w:rFonts w:asciiTheme="majorBidi" w:hAnsiTheme="majorBidi" w:cstheme="majorBidi"/>
                <w:sz w:val="18"/>
                <w:szCs w:val="18"/>
              </w:rPr>
            </w:pPr>
            <w:r>
              <w:rPr>
                <w:rFonts w:asciiTheme="majorBidi" w:hAnsiTheme="majorBidi" w:cstheme="majorBidi"/>
                <w:sz w:val="18"/>
                <w:szCs w:val="18"/>
              </w:rPr>
              <w:t>10.5</w:t>
            </w:r>
          </w:p>
        </w:tc>
      </w:tr>
      <w:tr w:rsidR="00CF1981" w:rsidTr="00BB71D6">
        <w:trPr>
          <w:trHeight w:val="20"/>
        </w:trPr>
        <w:tc>
          <w:tcPr>
            <w:tcW w:w="2537"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Dy. P &amp; D</w:t>
            </w:r>
          </w:p>
        </w:tc>
        <w:tc>
          <w:tcPr>
            <w:tcW w:w="1973" w:type="dxa"/>
          </w:tcPr>
          <w:p w:rsidR="00CF1981" w:rsidRDefault="00CF1981" w:rsidP="00BB71D6">
            <w:pPr>
              <w:pStyle w:val="TableParagraph"/>
              <w:spacing w:line="240" w:lineRule="auto"/>
              <w:ind w:left="87" w:right="86"/>
              <w:jc w:val="both"/>
              <w:rPr>
                <w:rFonts w:asciiTheme="majorBidi" w:hAnsiTheme="majorBidi" w:cstheme="majorBidi"/>
                <w:sz w:val="18"/>
                <w:szCs w:val="18"/>
              </w:rPr>
            </w:pPr>
            <w:r>
              <w:rPr>
                <w:rFonts w:asciiTheme="majorBidi" w:hAnsiTheme="majorBidi" w:cstheme="majorBidi"/>
                <w:sz w:val="18"/>
                <w:szCs w:val="18"/>
              </w:rPr>
              <w:t>14</w:t>
            </w:r>
          </w:p>
        </w:tc>
        <w:tc>
          <w:tcPr>
            <w:tcW w:w="2680"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09.20</w:t>
            </w:r>
          </w:p>
        </w:tc>
      </w:tr>
      <w:tr w:rsidR="00CF1981" w:rsidTr="00BB71D6">
        <w:trPr>
          <w:trHeight w:val="20"/>
        </w:trPr>
        <w:tc>
          <w:tcPr>
            <w:tcW w:w="2537"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Dy. Director P &amp; D</w:t>
            </w:r>
          </w:p>
        </w:tc>
        <w:tc>
          <w:tcPr>
            <w:tcW w:w="1973" w:type="dxa"/>
          </w:tcPr>
          <w:p w:rsidR="00CF1981" w:rsidRDefault="00CF1981" w:rsidP="00BB71D6">
            <w:pPr>
              <w:pStyle w:val="TableParagraph"/>
              <w:spacing w:line="240" w:lineRule="auto"/>
              <w:ind w:left="87" w:right="86"/>
              <w:jc w:val="both"/>
              <w:rPr>
                <w:rFonts w:asciiTheme="majorBidi" w:hAnsiTheme="majorBidi" w:cstheme="majorBidi"/>
                <w:sz w:val="18"/>
                <w:szCs w:val="18"/>
              </w:rPr>
            </w:pPr>
            <w:r>
              <w:rPr>
                <w:rFonts w:asciiTheme="majorBidi" w:hAnsiTheme="majorBidi" w:cstheme="majorBidi"/>
                <w:sz w:val="18"/>
                <w:szCs w:val="18"/>
              </w:rPr>
              <w:t>16</w:t>
            </w:r>
          </w:p>
        </w:tc>
        <w:tc>
          <w:tcPr>
            <w:tcW w:w="2680"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10.50</w:t>
            </w:r>
          </w:p>
        </w:tc>
      </w:tr>
      <w:tr w:rsidR="00CF1981" w:rsidTr="00BB71D6">
        <w:trPr>
          <w:trHeight w:val="20"/>
        </w:trPr>
        <w:tc>
          <w:tcPr>
            <w:tcW w:w="2537"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 xml:space="preserve"> Other</w:t>
            </w:r>
          </w:p>
        </w:tc>
        <w:tc>
          <w:tcPr>
            <w:tcW w:w="1973" w:type="dxa"/>
          </w:tcPr>
          <w:p w:rsidR="00CF1981" w:rsidRDefault="00CF1981" w:rsidP="00BB71D6">
            <w:pPr>
              <w:pStyle w:val="TableParagraph"/>
              <w:spacing w:line="240" w:lineRule="auto"/>
              <w:ind w:left="87" w:right="87"/>
              <w:jc w:val="both"/>
              <w:rPr>
                <w:rFonts w:asciiTheme="majorBidi" w:hAnsiTheme="majorBidi" w:cstheme="majorBidi"/>
                <w:sz w:val="18"/>
                <w:szCs w:val="18"/>
              </w:rPr>
            </w:pPr>
            <w:r>
              <w:rPr>
                <w:rFonts w:asciiTheme="majorBidi" w:hAnsiTheme="majorBidi" w:cstheme="majorBidi"/>
                <w:sz w:val="18"/>
                <w:szCs w:val="18"/>
              </w:rPr>
              <w:t>69</w:t>
            </w:r>
          </w:p>
        </w:tc>
        <w:tc>
          <w:tcPr>
            <w:tcW w:w="2680"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41.10</w:t>
            </w:r>
          </w:p>
        </w:tc>
      </w:tr>
      <w:tr w:rsidR="00CF1981" w:rsidTr="00BB71D6">
        <w:trPr>
          <w:trHeight w:val="20"/>
        </w:trPr>
        <w:tc>
          <w:tcPr>
            <w:tcW w:w="2537" w:type="dxa"/>
            <w:tcBorders>
              <w:top w:val="nil"/>
              <w:left w:val="nil"/>
              <w:bottom w:val="single" w:sz="4" w:space="0" w:color="000000"/>
              <w:right w:val="nil"/>
            </w:tcBorders>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Total</w:t>
            </w:r>
          </w:p>
        </w:tc>
        <w:tc>
          <w:tcPr>
            <w:tcW w:w="1973" w:type="dxa"/>
            <w:tcBorders>
              <w:top w:val="nil"/>
              <w:left w:val="nil"/>
              <w:bottom w:val="single" w:sz="4" w:space="0" w:color="000000"/>
              <w:right w:val="nil"/>
            </w:tcBorders>
          </w:tcPr>
          <w:p w:rsidR="00CF1981" w:rsidRDefault="00CF1981" w:rsidP="00BB71D6">
            <w:pPr>
              <w:pStyle w:val="TableParagraph"/>
              <w:spacing w:line="240" w:lineRule="auto"/>
              <w:ind w:left="87" w:right="86"/>
              <w:jc w:val="both"/>
              <w:rPr>
                <w:rFonts w:asciiTheme="majorBidi" w:hAnsiTheme="majorBidi" w:cstheme="majorBidi"/>
                <w:sz w:val="18"/>
                <w:szCs w:val="18"/>
              </w:rPr>
            </w:pPr>
            <w:r>
              <w:rPr>
                <w:rFonts w:asciiTheme="majorBidi" w:hAnsiTheme="majorBidi" w:cstheme="majorBidi"/>
                <w:sz w:val="18"/>
                <w:szCs w:val="18"/>
              </w:rPr>
              <w:t>153</w:t>
            </w:r>
          </w:p>
        </w:tc>
        <w:tc>
          <w:tcPr>
            <w:tcW w:w="2680" w:type="dxa"/>
            <w:tcBorders>
              <w:top w:val="nil"/>
              <w:left w:val="nil"/>
              <w:bottom w:val="single" w:sz="4" w:space="0" w:color="000000"/>
              <w:right w:val="nil"/>
            </w:tcBorders>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100.0</w:t>
            </w:r>
          </w:p>
        </w:tc>
      </w:tr>
      <w:tr w:rsidR="00CF1981" w:rsidTr="00BB71D6">
        <w:trPr>
          <w:trHeight w:val="20"/>
        </w:trPr>
        <w:tc>
          <w:tcPr>
            <w:tcW w:w="7190" w:type="dxa"/>
            <w:gridSpan w:val="3"/>
            <w:tcBorders>
              <w:top w:val="single" w:sz="4" w:space="0" w:color="000000"/>
              <w:left w:val="nil"/>
              <w:bottom w:val="single" w:sz="4" w:space="0" w:color="000000"/>
              <w:right w:val="nil"/>
            </w:tcBorders>
          </w:tcPr>
          <w:p w:rsidR="00CF1981" w:rsidRDefault="00CF1981" w:rsidP="00BB71D6">
            <w:pPr>
              <w:pStyle w:val="TableParagraph"/>
              <w:spacing w:line="240" w:lineRule="auto"/>
              <w:ind w:left="0" w:right="0"/>
              <w:rPr>
                <w:rFonts w:asciiTheme="majorBidi" w:hAnsiTheme="majorBidi" w:cstheme="majorBidi"/>
                <w:b/>
                <w:bCs/>
                <w:sz w:val="18"/>
                <w:szCs w:val="18"/>
              </w:rPr>
            </w:pPr>
            <w:r>
              <w:rPr>
                <w:rFonts w:asciiTheme="majorBidi" w:hAnsiTheme="majorBidi" w:cstheme="majorBidi"/>
                <w:b/>
                <w:bCs/>
                <w:sz w:val="18"/>
                <w:szCs w:val="18"/>
              </w:rPr>
              <w:t>Experience</w:t>
            </w:r>
          </w:p>
        </w:tc>
      </w:tr>
      <w:tr w:rsidR="00CF1981" w:rsidTr="00BB71D6">
        <w:trPr>
          <w:trHeight w:val="20"/>
        </w:trPr>
        <w:tc>
          <w:tcPr>
            <w:tcW w:w="2537" w:type="dxa"/>
            <w:tcBorders>
              <w:top w:val="single" w:sz="4" w:space="0" w:color="000000"/>
              <w:left w:val="nil"/>
              <w:bottom w:val="nil"/>
              <w:right w:val="nil"/>
            </w:tcBorders>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01 - 04 years</w:t>
            </w:r>
          </w:p>
        </w:tc>
        <w:tc>
          <w:tcPr>
            <w:tcW w:w="1973" w:type="dxa"/>
            <w:tcBorders>
              <w:top w:val="single" w:sz="4" w:space="0" w:color="000000"/>
              <w:left w:val="nil"/>
              <w:bottom w:val="nil"/>
              <w:right w:val="nil"/>
            </w:tcBorders>
          </w:tcPr>
          <w:p w:rsidR="00CF1981" w:rsidRDefault="00CF1981" w:rsidP="00BB71D6">
            <w:pPr>
              <w:pStyle w:val="TableParagraph"/>
              <w:spacing w:line="240" w:lineRule="auto"/>
              <w:ind w:left="87" w:right="86"/>
              <w:jc w:val="both"/>
              <w:rPr>
                <w:rFonts w:asciiTheme="majorBidi" w:hAnsiTheme="majorBidi" w:cstheme="majorBidi"/>
                <w:sz w:val="18"/>
                <w:szCs w:val="18"/>
              </w:rPr>
            </w:pPr>
            <w:r>
              <w:rPr>
                <w:rFonts w:asciiTheme="majorBidi" w:hAnsiTheme="majorBidi" w:cstheme="majorBidi"/>
                <w:sz w:val="18"/>
                <w:szCs w:val="18"/>
              </w:rPr>
              <w:t>45</w:t>
            </w:r>
          </w:p>
        </w:tc>
        <w:tc>
          <w:tcPr>
            <w:tcW w:w="2680" w:type="dxa"/>
            <w:tcBorders>
              <w:top w:val="single" w:sz="4" w:space="0" w:color="000000"/>
              <w:left w:val="nil"/>
              <w:bottom w:val="nil"/>
              <w:right w:val="nil"/>
            </w:tcBorders>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30.10</w:t>
            </w:r>
          </w:p>
        </w:tc>
      </w:tr>
      <w:tr w:rsidR="00CF1981" w:rsidTr="00BB71D6">
        <w:trPr>
          <w:trHeight w:val="20"/>
        </w:trPr>
        <w:tc>
          <w:tcPr>
            <w:tcW w:w="2537"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05 - 09 years</w:t>
            </w:r>
          </w:p>
        </w:tc>
        <w:tc>
          <w:tcPr>
            <w:tcW w:w="1973" w:type="dxa"/>
          </w:tcPr>
          <w:p w:rsidR="00CF1981" w:rsidRDefault="00CF1981" w:rsidP="00BB71D6">
            <w:pPr>
              <w:pStyle w:val="TableParagraph"/>
              <w:spacing w:line="240" w:lineRule="auto"/>
              <w:ind w:left="87" w:right="86"/>
              <w:jc w:val="both"/>
              <w:rPr>
                <w:rFonts w:asciiTheme="majorBidi" w:hAnsiTheme="majorBidi" w:cstheme="majorBidi"/>
                <w:sz w:val="18"/>
                <w:szCs w:val="18"/>
              </w:rPr>
            </w:pPr>
            <w:r>
              <w:rPr>
                <w:rFonts w:asciiTheme="majorBidi" w:hAnsiTheme="majorBidi" w:cstheme="majorBidi"/>
                <w:sz w:val="18"/>
                <w:szCs w:val="18"/>
              </w:rPr>
              <w:t>76</w:t>
            </w:r>
          </w:p>
        </w:tc>
        <w:tc>
          <w:tcPr>
            <w:tcW w:w="2680"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49.00</w:t>
            </w:r>
          </w:p>
        </w:tc>
      </w:tr>
      <w:tr w:rsidR="00CF1981" w:rsidTr="00BB71D6">
        <w:trPr>
          <w:trHeight w:val="20"/>
        </w:trPr>
        <w:tc>
          <w:tcPr>
            <w:tcW w:w="2537"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10 - 15 years</w:t>
            </w:r>
          </w:p>
        </w:tc>
        <w:tc>
          <w:tcPr>
            <w:tcW w:w="1973" w:type="dxa"/>
          </w:tcPr>
          <w:p w:rsidR="00CF1981" w:rsidRDefault="00CF1981" w:rsidP="00BB71D6">
            <w:pPr>
              <w:pStyle w:val="TableParagraph"/>
              <w:spacing w:line="240" w:lineRule="auto"/>
              <w:ind w:left="87" w:right="86"/>
              <w:jc w:val="both"/>
              <w:rPr>
                <w:rFonts w:asciiTheme="majorBidi" w:hAnsiTheme="majorBidi" w:cstheme="majorBidi"/>
                <w:sz w:val="18"/>
                <w:szCs w:val="18"/>
              </w:rPr>
            </w:pPr>
            <w:r>
              <w:rPr>
                <w:rFonts w:asciiTheme="majorBidi" w:hAnsiTheme="majorBidi" w:cstheme="majorBidi"/>
                <w:sz w:val="18"/>
                <w:szCs w:val="18"/>
              </w:rPr>
              <w:t>18</w:t>
            </w:r>
          </w:p>
        </w:tc>
        <w:tc>
          <w:tcPr>
            <w:tcW w:w="2680"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11.10</w:t>
            </w:r>
          </w:p>
        </w:tc>
      </w:tr>
      <w:tr w:rsidR="00CF1981" w:rsidTr="00BB71D6">
        <w:trPr>
          <w:trHeight w:val="20"/>
        </w:trPr>
        <w:tc>
          <w:tcPr>
            <w:tcW w:w="2537"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Over 15 years</w:t>
            </w:r>
          </w:p>
        </w:tc>
        <w:tc>
          <w:tcPr>
            <w:tcW w:w="1973" w:type="dxa"/>
          </w:tcPr>
          <w:p w:rsidR="00CF1981" w:rsidRDefault="00CF1981" w:rsidP="00BB71D6">
            <w:pPr>
              <w:pStyle w:val="TableParagraph"/>
              <w:spacing w:line="240" w:lineRule="auto"/>
              <w:ind w:left="87" w:right="87"/>
              <w:jc w:val="both"/>
              <w:rPr>
                <w:rFonts w:asciiTheme="majorBidi" w:hAnsiTheme="majorBidi" w:cstheme="majorBidi"/>
                <w:sz w:val="18"/>
                <w:szCs w:val="18"/>
              </w:rPr>
            </w:pPr>
            <w:r>
              <w:rPr>
                <w:rFonts w:asciiTheme="majorBidi" w:hAnsiTheme="majorBidi" w:cstheme="majorBidi"/>
                <w:sz w:val="18"/>
                <w:szCs w:val="18"/>
              </w:rPr>
              <w:t>14</w:t>
            </w:r>
          </w:p>
        </w:tc>
        <w:tc>
          <w:tcPr>
            <w:tcW w:w="2680"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09.80</w:t>
            </w:r>
          </w:p>
        </w:tc>
      </w:tr>
      <w:tr w:rsidR="00CF1981" w:rsidTr="00BB71D6">
        <w:trPr>
          <w:trHeight w:val="20"/>
        </w:trPr>
        <w:tc>
          <w:tcPr>
            <w:tcW w:w="2537" w:type="dxa"/>
            <w:tcBorders>
              <w:top w:val="nil"/>
              <w:left w:val="nil"/>
              <w:bottom w:val="single" w:sz="4" w:space="0" w:color="000000"/>
              <w:right w:val="nil"/>
            </w:tcBorders>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Total</w:t>
            </w:r>
          </w:p>
        </w:tc>
        <w:tc>
          <w:tcPr>
            <w:tcW w:w="1973" w:type="dxa"/>
            <w:tcBorders>
              <w:top w:val="nil"/>
              <w:left w:val="nil"/>
              <w:bottom w:val="single" w:sz="4" w:space="0" w:color="000000"/>
              <w:right w:val="nil"/>
            </w:tcBorders>
          </w:tcPr>
          <w:p w:rsidR="00CF1981" w:rsidRDefault="00CF1981" w:rsidP="00BB71D6">
            <w:pPr>
              <w:pStyle w:val="TableParagraph"/>
              <w:spacing w:line="240" w:lineRule="auto"/>
              <w:ind w:left="87" w:right="86"/>
              <w:jc w:val="both"/>
              <w:rPr>
                <w:rFonts w:asciiTheme="majorBidi" w:hAnsiTheme="majorBidi" w:cstheme="majorBidi"/>
                <w:sz w:val="18"/>
                <w:szCs w:val="18"/>
              </w:rPr>
            </w:pPr>
            <w:r>
              <w:rPr>
                <w:rFonts w:asciiTheme="majorBidi" w:hAnsiTheme="majorBidi" w:cstheme="majorBidi"/>
                <w:sz w:val="18"/>
                <w:szCs w:val="18"/>
              </w:rPr>
              <w:t>153</w:t>
            </w:r>
          </w:p>
        </w:tc>
        <w:tc>
          <w:tcPr>
            <w:tcW w:w="2680" w:type="dxa"/>
            <w:tcBorders>
              <w:top w:val="nil"/>
              <w:left w:val="nil"/>
              <w:bottom w:val="single" w:sz="4" w:space="0" w:color="000000"/>
              <w:right w:val="nil"/>
            </w:tcBorders>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100.0</w:t>
            </w:r>
          </w:p>
        </w:tc>
      </w:tr>
      <w:tr w:rsidR="00CF1981" w:rsidTr="00BB71D6">
        <w:trPr>
          <w:trHeight w:val="20"/>
        </w:trPr>
        <w:tc>
          <w:tcPr>
            <w:tcW w:w="7190" w:type="dxa"/>
            <w:gridSpan w:val="3"/>
            <w:tcBorders>
              <w:top w:val="single" w:sz="4" w:space="0" w:color="000000"/>
              <w:left w:val="nil"/>
              <w:bottom w:val="single" w:sz="4" w:space="0" w:color="000000"/>
              <w:right w:val="nil"/>
            </w:tcBorders>
          </w:tcPr>
          <w:p w:rsidR="00CF1981" w:rsidRDefault="00CF1981" w:rsidP="00BB71D6">
            <w:pPr>
              <w:pStyle w:val="TableParagraph"/>
              <w:spacing w:line="240" w:lineRule="auto"/>
              <w:ind w:left="0" w:right="0"/>
              <w:rPr>
                <w:rFonts w:asciiTheme="majorBidi" w:hAnsiTheme="majorBidi" w:cstheme="majorBidi"/>
                <w:b/>
                <w:bCs/>
                <w:sz w:val="18"/>
                <w:szCs w:val="18"/>
              </w:rPr>
            </w:pPr>
            <w:r>
              <w:rPr>
                <w:rFonts w:asciiTheme="majorBidi" w:hAnsiTheme="majorBidi" w:cstheme="majorBidi"/>
                <w:b/>
                <w:bCs/>
                <w:sz w:val="18"/>
                <w:szCs w:val="18"/>
              </w:rPr>
              <w:t>Education</w:t>
            </w:r>
          </w:p>
        </w:tc>
      </w:tr>
      <w:tr w:rsidR="00CF1981" w:rsidTr="00BB71D6">
        <w:trPr>
          <w:trHeight w:val="20"/>
        </w:trPr>
        <w:tc>
          <w:tcPr>
            <w:tcW w:w="2537" w:type="dxa"/>
            <w:tcBorders>
              <w:top w:val="single" w:sz="4" w:space="0" w:color="000000"/>
              <w:left w:val="nil"/>
              <w:bottom w:val="nil"/>
              <w:right w:val="nil"/>
            </w:tcBorders>
          </w:tcPr>
          <w:p w:rsidR="00CF1981" w:rsidRDefault="00CF1981" w:rsidP="00BB71D6">
            <w:pPr>
              <w:pStyle w:val="TableParagraph"/>
              <w:spacing w:line="240" w:lineRule="auto"/>
              <w:ind w:right="89"/>
              <w:jc w:val="both"/>
              <w:rPr>
                <w:rFonts w:asciiTheme="majorBidi" w:hAnsiTheme="majorBidi" w:cstheme="majorBidi"/>
                <w:sz w:val="18"/>
                <w:szCs w:val="18"/>
              </w:rPr>
            </w:pPr>
            <w:r>
              <w:rPr>
                <w:rFonts w:asciiTheme="majorBidi" w:hAnsiTheme="majorBidi" w:cstheme="majorBidi"/>
                <w:sz w:val="18"/>
                <w:szCs w:val="18"/>
              </w:rPr>
              <w:t xml:space="preserve">Bachelors </w:t>
            </w:r>
          </w:p>
        </w:tc>
        <w:tc>
          <w:tcPr>
            <w:tcW w:w="1973" w:type="dxa"/>
            <w:tcBorders>
              <w:top w:val="single" w:sz="4" w:space="0" w:color="000000"/>
              <w:left w:val="nil"/>
              <w:bottom w:val="nil"/>
              <w:right w:val="nil"/>
            </w:tcBorders>
          </w:tcPr>
          <w:p w:rsidR="00CF1981" w:rsidRDefault="00CF1981" w:rsidP="00BB71D6">
            <w:pPr>
              <w:pStyle w:val="TableParagraph"/>
              <w:spacing w:line="240" w:lineRule="auto"/>
              <w:ind w:left="87" w:right="85"/>
              <w:jc w:val="both"/>
              <w:rPr>
                <w:rFonts w:asciiTheme="majorBidi" w:hAnsiTheme="majorBidi" w:cstheme="majorBidi"/>
                <w:sz w:val="18"/>
                <w:szCs w:val="18"/>
              </w:rPr>
            </w:pPr>
            <w:r>
              <w:rPr>
                <w:rFonts w:asciiTheme="majorBidi" w:hAnsiTheme="majorBidi" w:cstheme="majorBidi"/>
                <w:sz w:val="18"/>
                <w:szCs w:val="18"/>
              </w:rPr>
              <w:t>57</w:t>
            </w:r>
          </w:p>
        </w:tc>
        <w:tc>
          <w:tcPr>
            <w:tcW w:w="2680" w:type="dxa"/>
            <w:tcBorders>
              <w:top w:val="single" w:sz="4" w:space="0" w:color="000000"/>
              <w:left w:val="nil"/>
              <w:bottom w:val="nil"/>
              <w:right w:val="nil"/>
            </w:tcBorders>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36.60</w:t>
            </w:r>
          </w:p>
        </w:tc>
      </w:tr>
      <w:tr w:rsidR="00CF1981" w:rsidTr="00BB71D6">
        <w:trPr>
          <w:trHeight w:val="20"/>
        </w:trPr>
        <w:tc>
          <w:tcPr>
            <w:tcW w:w="2537"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 xml:space="preserve">Masters </w:t>
            </w:r>
          </w:p>
        </w:tc>
        <w:tc>
          <w:tcPr>
            <w:tcW w:w="1973" w:type="dxa"/>
          </w:tcPr>
          <w:p w:rsidR="00CF1981" w:rsidRDefault="00CF1981" w:rsidP="00BB71D6">
            <w:pPr>
              <w:pStyle w:val="TableParagraph"/>
              <w:spacing w:line="240" w:lineRule="auto"/>
              <w:ind w:left="87" w:right="87"/>
              <w:jc w:val="both"/>
              <w:rPr>
                <w:rFonts w:asciiTheme="majorBidi" w:hAnsiTheme="majorBidi" w:cstheme="majorBidi"/>
                <w:sz w:val="18"/>
                <w:szCs w:val="18"/>
              </w:rPr>
            </w:pPr>
            <w:r>
              <w:rPr>
                <w:rFonts w:asciiTheme="majorBidi" w:hAnsiTheme="majorBidi" w:cstheme="majorBidi"/>
                <w:sz w:val="18"/>
                <w:szCs w:val="18"/>
              </w:rPr>
              <w:t>54</w:t>
            </w:r>
          </w:p>
        </w:tc>
        <w:tc>
          <w:tcPr>
            <w:tcW w:w="2680"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35.90</w:t>
            </w:r>
          </w:p>
        </w:tc>
      </w:tr>
      <w:tr w:rsidR="00CF1981" w:rsidTr="00BB71D6">
        <w:trPr>
          <w:trHeight w:val="20"/>
        </w:trPr>
        <w:tc>
          <w:tcPr>
            <w:tcW w:w="2537"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Doctorate</w:t>
            </w:r>
          </w:p>
        </w:tc>
        <w:tc>
          <w:tcPr>
            <w:tcW w:w="1973" w:type="dxa"/>
          </w:tcPr>
          <w:p w:rsidR="00CF1981" w:rsidRDefault="00CF1981" w:rsidP="00BB71D6">
            <w:pPr>
              <w:pStyle w:val="TableParagraph"/>
              <w:spacing w:line="240" w:lineRule="auto"/>
              <w:ind w:left="87" w:right="87"/>
              <w:jc w:val="both"/>
              <w:rPr>
                <w:rFonts w:asciiTheme="majorBidi" w:hAnsiTheme="majorBidi" w:cstheme="majorBidi"/>
                <w:sz w:val="18"/>
                <w:szCs w:val="18"/>
              </w:rPr>
            </w:pPr>
            <w:r>
              <w:rPr>
                <w:rFonts w:asciiTheme="majorBidi" w:hAnsiTheme="majorBidi" w:cstheme="majorBidi"/>
                <w:sz w:val="18"/>
                <w:szCs w:val="18"/>
              </w:rPr>
              <w:t>05</w:t>
            </w:r>
          </w:p>
        </w:tc>
        <w:tc>
          <w:tcPr>
            <w:tcW w:w="2680"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02.60</w:t>
            </w:r>
          </w:p>
        </w:tc>
      </w:tr>
      <w:tr w:rsidR="00CF1981" w:rsidTr="00BB71D6">
        <w:trPr>
          <w:trHeight w:val="20"/>
        </w:trPr>
        <w:tc>
          <w:tcPr>
            <w:tcW w:w="2537"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 xml:space="preserve"> Other</w:t>
            </w:r>
          </w:p>
        </w:tc>
        <w:tc>
          <w:tcPr>
            <w:tcW w:w="1973" w:type="dxa"/>
          </w:tcPr>
          <w:p w:rsidR="00CF1981" w:rsidRDefault="00CF1981" w:rsidP="00BB71D6">
            <w:pPr>
              <w:pStyle w:val="TableParagraph"/>
              <w:spacing w:line="240" w:lineRule="auto"/>
              <w:ind w:left="87" w:right="87"/>
              <w:jc w:val="both"/>
              <w:rPr>
                <w:rFonts w:asciiTheme="majorBidi" w:hAnsiTheme="majorBidi" w:cstheme="majorBidi"/>
                <w:sz w:val="18"/>
                <w:szCs w:val="18"/>
              </w:rPr>
            </w:pPr>
            <w:r>
              <w:rPr>
                <w:rFonts w:asciiTheme="majorBidi" w:hAnsiTheme="majorBidi" w:cstheme="majorBidi"/>
                <w:sz w:val="18"/>
                <w:szCs w:val="18"/>
              </w:rPr>
              <w:t>37</w:t>
            </w:r>
          </w:p>
        </w:tc>
        <w:tc>
          <w:tcPr>
            <w:tcW w:w="2680" w:type="dxa"/>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24.80</w:t>
            </w:r>
          </w:p>
        </w:tc>
      </w:tr>
      <w:tr w:rsidR="00CF1981" w:rsidTr="00BB71D6">
        <w:trPr>
          <w:trHeight w:val="20"/>
        </w:trPr>
        <w:tc>
          <w:tcPr>
            <w:tcW w:w="2537" w:type="dxa"/>
            <w:tcBorders>
              <w:top w:val="nil"/>
              <w:left w:val="nil"/>
              <w:bottom w:val="single" w:sz="4" w:space="0" w:color="000000"/>
              <w:right w:val="nil"/>
            </w:tcBorders>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Total</w:t>
            </w:r>
          </w:p>
        </w:tc>
        <w:tc>
          <w:tcPr>
            <w:tcW w:w="1973" w:type="dxa"/>
            <w:tcBorders>
              <w:top w:val="nil"/>
              <w:left w:val="nil"/>
              <w:bottom w:val="single" w:sz="4" w:space="0" w:color="000000"/>
              <w:right w:val="nil"/>
            </w:tcBorders>
          </w:tcPr>
          <w:p w:rsidR="00CF1981" w:rsidRDefault="00CF1981" w:rsidP="00BB71D6">
            <w:pPr>
              <w:pStyle w:val="TableParagraph"/>
              <w:spacing w:line="240" w:lineRule="auto"/>
              <w:ind w:left="87" w:right="86"/>
              <w:jc w:val="both"/>
              <w:rPr>
                <w:rFonts w:asciiTheme="majorBidi" w:hAnsiTheme="majorBidi" w:cstheme="majorBidi"/>
                <w:sz w:val="18"/>
                <w:szCs w:val="18"/>
              </w:rPr>
            </w:pPr>
            <w:r>
              <w:rPr>
                <w:rFonts w:asciiTheme="majorBidi" w:hAnsiTheme="majorBidi" w:cstheme="majorBidi"/>
                <w:sz w:val="18"/>
                <w:szCs w:val="18"/>
              </w:rPr>
              <w:t>153</w:t>
            </w:r>
          </w:p>
        </w:tc>
        <w:tc>
          <w:tcPr>
            <w:tcW w:w="2680" w:type="dxa"/>
            <w:tcBorders>
              <w:top w:val="nil"/>
              <w:left w:val="nil"/>
              <w:bottom w:val="single" w:sz="4" w:space="0" w:color="000000"/>
              <w:right w:val="nil"/>
            </w:tcBorders>
          </w:tcPr>
          <w:p w:rsidR="00CF1981" w:rsidRDefault="00CF1981" w:rsidP="00BB71D6">
            <w:pPr>
              <w:pStyle w:val="TableParagraph"/>
              <w:spacing w:line="240" w:lineRule="auto"/>
              <w:jc w:val="both"/>
              <w:rPr>
                <w:rFonts w:asciiTheme="majorBidi" w:hAnsiTheme="majorBidi" w:cstheme="majorBidi"/>
                <w:sz w:val="18"/>
                <w:szCs w:val="18"/>
              </w:rPr>
            </w:pPr>
            <w:r>
              <w:rPr>
                <w:rFonts w:asciiTheme="majorBidi" w:hAnsiTheme="majorBidi" w:cstheme="majorBidi"/>
                <w:sz w:val="18"/>
                <w:szCs w:val="18"/>
              </w:rPr>
              <w:t>100.0</w:t>
            </w:r>
          </w:p>
        </w:tc>
      </w:tr>
    </w:tbl>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
          <w:kern w:val="0"/>
          <w:sz w:val="18"/>
          <w:szCs w:val="18"/>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
          <w:i/>
          <w:iCs/>
          <w:kern w:val="0"/>
          <w:sz w:val="18"/>
          <w:szCs w:val="18"/>
          <w:shd w:val="clear" w:color="auto" w:fill="FFFFFF"/>
        </w:rPr>
      </w:pPr>
      <w:r>
        <w:rPr>
          <w:rFonts w:asciiTheme="majorBidi" w:eastAsia="HYSinMyeongJo-Medium" w:hAnsiTheme="majorBidi" w:cstheme="majorBidi"/>
          <w:b/>
          <w:i/>
          <w:iCs/>
          <w:kern w:val="0"/>
          <w:sz w:val="18"/>
          <w:szCs w:val="18"/>
          <w:shd w:val="clear" w:color="auto" w:fill="FFFFFF"/>
        </w:rPr>
        <w:t xml:space="preserve">Table 5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Cs/>
          <w:i/>
          <w:iCs/>
          <w:kern w:val="0"/>
          <w:sz w:val="18"/>
          <w:szCs w:val="18"/>
          <w:shd w:val="clear" w:color="auto" w:fill="FFFFFF"/>
        </w:rPr>
      </w:pPr>
      <w:r>
        <w:rPr>
          <w:rFonts w:asciiTheme="majorBidi" w:eastAsia="HYSinMyeongJo-Medium" w:hAnsiTheme="majorBidi" w:cstheme="majorBidi"/>
          <w:bCs/>
          <w:i/>
          <w:iCs/>
          <w:kern w:val="0"/>
          <w:sz w:val="18"/>
          <w:szCs w:val="18"/>
          <w:shd w:val="clear" w:color="auto" w:fill="FFFFFF"/>
        </w:rPr>
        <w:t>Results of Reliability Analysis</w:t>
      </w:r>
    </w:p>
    <w:tbl>
      <w:tblPr>
        <w:tblW w:w="5000" w:type="pct"/>
        <w:tblBorders>
          <w:top w:val="single" w:sz="4" w:space="0" w:color="000000"/>
          <w:bottom w:val="single" w:sz="4" w:space="0" w:color="000000"/>
        </w:tblBorders>
        <w:tblCellMar>
          <w:left w:w="0" w:type="dxa"/>
          <w:right w:w="0" w:type="dxa"/>
        </w:tblCellMar>
        <w:tblLook w:val="04A0" w:firstRow="1" w:lastRow="0" w:firstColumn="1" w:lastColumn="0" w:noHBand="0" w:noVBand="1"/>
      </w:tblPr>
      <w:tblGrid>
        <w:gridCol w:w="2760"/>
        <w:gridCol w:w="2177"/>
        <w:gridCol w:w="1210"/>
      </w:tblGrid>
      <w:tr w:rsidR="00CF1981" w:rsidTr="00BB71D6">
        <w:trPr>
          <w:trHeight w:val="382"/>
        </w:trPr>
        <w:tc>
          <w:tcPr>
            <w:tcW w:w="2245" w:type="pct"/>
            <w:tcBorders>
              <w:top w:val="single" w:sz="4" w:space="0" w:color="000000"/>
              <w:left w:val="nil"/>
              <w:bottom w:val="single" w:sz="4" w:space="0" w:color="auto"/>
              <w:right w:val="nil"/>
            </w:tcBorders>
          </w:tcPr>
          <w:p w:rsidR="00CF1981" w:rsidRDefault="00CF1981" w:rsidP="00BB71D6">
            <w:pPr>
              <w:pStyle w:val="TableParagraph"/>
              <w:spacing w:line="240" w:lineRule="auto"/>
              <w:ind w:left="92" w:right="92"/>
              <w:jc w:val="both"/>
              <w:rPr>
                <w:rFonts w:asciiTheme="majorBidi" w:hAnsiTheme="majorBidi" w:cstheme="majorBidi"/>
                <w:b/>
                <w:bCs/>
                <w:sz w:val="18"/>
                <w:szCs w:val="18"/>
              </w:rPr>
            </w:pPr>
            <w:r>
              <w:rPr>
                <w:rFonts w:asciiTheme="majorBidi" w:hAnsiTheme="majorBidi" w:cstheme="majorBidi"/>
                <w:b/>
                <w:bCs/>
                <w:sz w:val="18"/>
                <w:szCs w:val="18"/>
              </w:rPr>
              <w:t>Group Name</w:t>
            </w:r>
          </w:p>
        </w:tc>
        <w:tc>
          <w:tcPr>
            <w:tcW w:w="1771" w:type="pct"/>
            <w:tcBorders>
              <w:top w:val="single" w:sz="4" w:space="0" w:color="000000"/>
              <w:left w:val="nil"/>
              <w:bottom w:val="single" w:sz="4" w:space="0" w:color="auto"/>
              <w:right w:val="nil"/>
            </w:tcBorders>
          </w:tcPr>
          <w:p w:rsidR="00CF1981" w:rsidRDefault="00CF1981" w:rsidP="00BB71D6">
            <w:pPr>
              <w:pStyle w:val="TableParagraph"/>
              <w:spacing w:line="240" w:lineRule="auto"/>
              <w:ind w:left="89" w:right="89"/>
              <w:jc w:val="both"/>
              <w:rPr>
                <w:rFonts w:asciiTheme="majorBidi" w:hAnsiTheme="majorBidi" w:cstheme="majorBidi"/>
                <w:b/>
                <w:bCs/>
                <w:sz w:val="18"/>
                <w:szCs w:val="18"/>
              </w:rPr>
            </w:pPr>
            <w:r>
              <w:rPr>
                <w:rFonts w:asciiTheme="majorBidi" w:hAnsiTheme="majorBidi" w:cstheme="majorBidi"/>
                <w:b/>
                <w:bCs/>
                <w:sz w:val="18"/>
                <w:szCs w:val="18"/>
              </w:rPr>
              <w:t>Cronbach’s Alpha (α)</w:t>
            </w:r>
          </w:p>
        </w:tc>
        <w:tc>
          <w:tcPr>
            <w:tcW w:w="984" w:type="pct"/>
            <w:tcBorders>
              <w:top w:val="single" w:sz="4" w:space="0" w:color="000000"/>
              <w:left w:val="nil"/>
              <w:bottom w:val="single" w:sz="4" w:space="0" w:color="auto"/>
              <w:right w:val="nil"/>
            </w:tcBorders>
          </w:tcPr>
          <w:p w:rsidR="00CF1981" w:rsidRDefault="00CF1981" w:rsidP="00BB71D6">
            <w:pPr>
              <w:pStyle w:val="TableParagraph"/>
              <w:spacing w:line="240" w:lineRule="auto"/>
              <w:ind w:left="87" w:right="88"/>
              <w:jc w:val="both"/>
              <w:rPr>
                <w:rFonts w:asciiTheme="majorBidi" w:hAnsiTheme="majorBidi" w:cstheme="majorBidi"/>
                <w:b/>
                <w:bCs/>
                <w:sz w:val="18"/>
                <w:szCs w:val="18"/>
              </w:rPr>
            </w:pPr>
            <w:r>
              <w:rPr>
                <w:rFonts w:asciiTheme="majorBidi" w:hAnsiTheme="majorBidi" w:cstheme="majorBidi"/>
                <w:b/>
                <w:bCs/>
                <w:sz w:val="18"/>
                <w:szCs w:val="18"/>
              </w:rPr>
              <w:t>Sub Factors</w:t>
            </w:r>
          </w:p>
        </w:tc>
      </w:tr>
      <w:tr w:rsidR="00CF1981" w:rsidTr="00BB71D6">
        <w:trPr>
          <w:trHeight w:val="382"/>
        </w:trPr>
        <w:tc>
          <w:tcPr>
            <w:tcW w:w="2245" w:type="pct"/>
            <w:tcBorders>
              <w:top w:val="single" w:sz="4" w:space="0" w:color="auto"/>
              <w:left w:val="nil"/>
              <w:bottom w:val="nil"/>
              <w:right w:val="nil"/>
            </w:tcBorders>
          </w:tcPr>
          <w:p w:rsidR="00CF1981" w:rsidRDefault="00CF1981" w:rsidP="00BB71D6">
            <w:pPr>
              <w:pStyle w:val="TableParagraph"/>
              <w:spacing w:line="240" w:lineRule="auto"/>
              <w:ind w:left="92" w:right="93"/>
              <w:jc w:val="both"/>
              <w:rPr>
                <w:rFonts w:asciiTheme="majorBidi" w:hAnsiTheme="majorBidi" w:cstheme="majorBidi"/>
                <w:sz w:val="18"/>
                <w:szCs w:val="18"/>
              </w:rPr>
            </w:pPr>
            <w:r>
              <w:rPr>
                <w:rFonts w:asciiTheme="majorBidi" w:hAnsiTheme="majorBidi" w:cstheme="majorBidi"/>
                <w:sz w:val="18"/>
                <w:szCs w:val="18"/>
              </w:rPr>
              <w:t>HEC</w:t>
            </w:r>
          </w:p>
        </w:tc>
        <w:tc>
          <w:tcPr>
            <w:tcW w:w="1771" w:type="pct"/>
            <w:tcBorders>
              <w:top w:val="single" w:sz="4" w:space="0" w:color="auto"/>
              <w:left w:val="nil"/>
              <w:bottom w:val="nil"/>
              <w:right w:val="nil"/>
            </w:tcBorders>
          </w:tcPr>
          <w:p w:rsidR="00CF1981" w:rsidRDefault="00CF1981" w:rsidP="00BB71D6">
            <w:pPr>
              <w:pStyle w:val="TableParagraph"/>
              <w:spacing w:line="240" w:lineRule="auto"/>
              <w:ind w:left="89" w:right="89"/>
              <w:jc w:val="both"/>
              <w:rPr>
                <w:rFonts w:asciiTheme="majorBidi" w:hAnsiTheme="majorBidi" w:cstheme="majorBidi"/>
                <w:sz w:val="18"/>
                <w:szCs w:val="18"/>
              </w:rPr>
            </w:pPr>
            <w:r>
              <w:rPr>
                <w:rFonts w:asciiTheme="majorBidi" w:hAnsiTheme="majorBidi" w:cstheme="majorBidi"/>
                <w:sz w:val="18"/>
                <w:szCs w:val="18"/>
              </w:rPr>
              <w:t>0.613</w:t>
            </w:r>
          </w:p>
        </w:tc>
        <w:tc>
          <w:tcPr>
            <w:tcW w:w="984" w:type="pct"/>
            <w:tcBorders>
              <w:top w:val="single" w:sz="4" w:space="0" w:color="auto"/>
              <w:left w:val="nil"/>
              <w:bottom w:val="nil"/>
              <w:right w:val="nil"/>
            </w:tcBorders>
          </w:tcPr>
          <w:p w:rsidR="00CF1981" w:rsidRDefault="00CF1981" w:rsidP="00BB71D6">
            <w:pPr>
              <w:pStyle w:val="TableParagraph"/>
              <w:spacing w:line="240" w:lineRule="auto"/>
              <w:ind w:left="86" w:right="88"/>
              <w:jc w:val="both"/>
              <w:rPr>
                <w:rFonts w:asciiTheme="majorBidi" w:hAnsiTheme="majorBidi" w:cstheme="majorBidi"/>
                <w:sz w:val="18"/>
                <w:szCs w:val="18"/>
              </w:rPr>
            </w:pPr>
            <w:r>
              <w:rPr>
                <w:rFonts w:asciiTheme="majorBidi" w:hAnsiTheme="majorBidi" w:cstheme="majorBidi"/>
                <w:sz w:val="18"/>
                <w:szCs w:val="18"/>
              </w:rPr>
              <w:t>08</w:t>
            </w:r>
          </w:p>
        </w:tc>
      </w:tr>
      <w:tr w:rsidR="00CF1981" w:rsidTr="00BB71D6">
        <w:trPr>
          <w:trHeight w:val="382"/>
        </w:trPr>
        <w:tc>
          <w:tcPr>
            <w:tcW w:w="2245" w:type="pct"/>
            <w:tcBorders>
              <w:top w:val="nil"/>
              <w:left w:val="nil"/>
              <w:bottom w:val="nil"/>
              <w:right w:val="nil"/>
            </w:tcBorders>
          </w:tcPr>
          <w:p w:rsidR="00CF1981" w:rsidRDefault="00CF1981" w:rsidP="00BB71D6">
            <w:pPr>
              <w:pStyle w:val="TableParagraph"/>
              <w:spacing w:line="240" w:lineRule="auto"/>
              <w:ind w:left="92" w:right="92"/>
              <w:jc w:val="both"/>
              <w:rPr>
                <w:rFonts w:asciiTheme="majorBidi" w:hAnsiTheme="majorBidi" w:cstheme="majorBidi"/>
                <w:sz w:val="18"/>
                <w:szCs w:val="18"/>
              </w:rPr>
            </w:pPr>
            <w:r>
              <w:rPr>
                <w:rFonts w:asciiTheme="majorBidi" w:hAnsiTheme="majorBidi" w:cstheme="majorBidi"/>
                <w:sz w:val="18"/>
                <w:szCs w:val="18"/>
              </w:rPr>
              <w:t>HEI</w:t>
            </w:r>
          </w:p>
        </w:tc>
        <w:tc>
          <w:tcPr>
            <w:tcW w:w="1771" w:type="pct"/>
            <w:tcBorders>
              <w:top w:val="nil"/>
              <w:left w:val="nil"/>
              <w:bottom w:val="nil"/>
              <w:right w:val="nil"/>
            </w:tcBorders>
          </w:tcPr>
          <w:p w:rsidR="00CF1981" w:rsidRDefault="00CF1981" w:rsidP="00BB71D6">
            <w:pPr>
              <w:pStyle w:val="TableParagraph"/>
              <w:spacing w:line="240" w:lineRule="auto"/>
              <w:ind w:left="89" w:right="89"/>
              <w:jc w:val="both"/>
              <w:rPr>
                <w:rFonts w:asciiTheme="majorBidi" w:hAnsiTheme="majorBidi" w:cstheme="majorBidi"/>
                <w:sz w:val="18"/>
                <w:szCs w:val="18"/>
              </w:rPr>
            </w:pPr>
            <w:r>
              <w:rPr>
                <w:rFonts w:asciiTheme="majorBidi" w:hAnsiTheme="majorBidi" w:cstheme="majorBidi"/>
                <w:sz w:val="18"/>
                <w:szCs w:val="18"/>
              </w:rPr>
              <w:t>0.799</w:t>
            </w:r>
          </w:p>
        </w:tc>
        <w:tc>
          <w:tcPr>
            <w:tcW w:w="984" w:type="pct"/>
            <w:tcBorders>
              <w:top w:val="nil"/>
              <w:left w:val="nil"/>
              <w:bottom w:val="nil"/>
              <w:right w:val="nil"/>
            </w:tcBorders>
          </w:tcPr>
          <w:p w:rsidR="00CF1981" w:rsidRDefault="00CF1981" w:rsidP="00BB71D6">
            <w:pPr>
              <w:pStyle w:val="TableParagraph"/>
              <w:spacing w:line="240" w:lineRule="auto"/>
              <w:ind w:left="87" w:right="87"/>
              <w:jc w:val="both"/>
              <w:rPr>
                <w:rFonts w:asciiTheme="majorBidi" w:hAnsiTheme="majorBidi" w:cstheme="majorBidi"/>
                <w:sz w:val="18"/>
                <w:szCs w:val="18"/>
              </w:rPr>
            </w:pPr>
            <w:r>
              <w:rPr>
                <w:rFonts w:asciiTheme="majorBidi" w:hAnsiTheme="majorBidi" w:cstheme="majorBidi"/>
                <w:sz w:val="18"/>
                <w:szCs w:val="18"/>
              </w:rPr>
              <w:t>19</w:t>
            </w:r>
          </w:p>
        </w:tc>
      </w:tr>
      <w:tr w:rsidR="00CF1981" w:rsidTr="00BB71D6">
        <w:trPr>
          <w:trHeight w:val="382"/>
        </w:trPr>
        <w:tc>
          <w:tcPr>
            <w:tcW w:w="2245" w:type="pct"/>
            <w:tcBorders>
              <w:top w:val="nil"/>
              <w:left w:val="nil"/>
              <w:bottom w:val="nil"/>
              <w:right w:val="nil"/>
            </w:tcBorders>
          </w:tcPr>
          <w:p w:rsidR="00CF1981" w:rsidRDefault="00CF1981" w:rsidP="00BB71D6">
            <w:pPr>
              <w:pStyle w:val="TableParagraph"/>
              <w:spacing w:line="240" w:lineRule="auto"/>
              <w:ind w:left="92" w:right="92"/>
              <w:jc w:val="both"/>
              <w:rPr>
                <w:rFonts w:asciiTheme="majorBidi" w:hAnsiTheme="majorBidi" w:cstheme="majorBidi"/>
                <w:sz w:val="18"/>
                <w:szCs w:val="18"/>
              </w:rPr>
            </w:pPr>
            <w:r>
              <w:rPr>
                <w:rFonts w:asciiTheme="majorBidi" w:hAnsiTheme="majorBidi" w:cstheme="majorBidi"/>
                <w:sz w:val="18"/>
                <w:szCs w:val="18"/>
              </w:rPr>
              <w:t>Consultant</w:t>
            </w:r>
          </w:p>
        </w:tc>
        <w:tc>
          <w:tcPr>
            <w:tcW w:w="1771" w:type="pct"/>
            <w:tcBorders>
              <w:top w:val="nil"/>
              <w:left w:val="nil"/>
              <w:bottom w:val="nil"/>
              <w:right w:val="nil"/>
            </w:tcBorders>
          </w:tcPr>
          <w:p w:rsidR="00CF1981" w:rsidRDefault="00CF1981" w:rsidP="00BB71D6">
            <w:pPr>
              <w:pStyle w:val="TableParagraph"/>
              <w:spacing w:line="240" w:lineRule="auto"/>
              <w:ind w:left="89" w:right="88"/>
              <w:jc w:val="both"/>
              <w:rPr>
                <w:rFonts w:asciiTheme="majorBidi" w:hAnsiTheme="majorBidi" w:cstheme="majorBidi"/>
                <w:sz w:val="18"/>
                <w:szCs w:val="18"/>
              </w:rPr>
            </w:pPr>
            <w:r>
              <w:rPr>
                <w:rFonts w:asciiTheme="majorBidi" w:hAnsiTheme="majorBidi" w:cstheme="majorBidi"/>
                <w:sz w:val="18"/>
                <w:szCs w:val="18"/>
              </w:rPr>
              <w:t>0.702</w:t>
            </w:r>
          </w:p>
        </w:tc>
        <w:tc>
          <w:tcPr>
            <w:tcW w:w="984" w:type="pct"/>
            <w:tcBorders>
              <w:top w:val="nil"/>
              <w:left w:val="nil"/>
              <w:bottom w:val="nil"/>
              <w:right w:val="nil"/>
            </w:tcBorders>
          </w:tcPr>
          <w:p w:rsidR="00CF1981" w:rsidRDefault="00CF1981" w:rsidP="00BB71D6">
            <w:pPr>
              <w:pStyle w:val="TableParagraph"/>
              <w:spacing w:line="240" w:lineRule="auto"/>
              <w:ind w:left="87" w:right="87"/>
              <w:jc w:val="both"/>
              <w:rPr>
                <w:rFonts w:asciiTheme="majorBidi" w:hAnsiTheme="majorBidi" w:cstheme="majorBidi"/>
                <w:sz w:val="18"/>
                <w:szCs w:val="18"/>
              </w:rPr>
            </w:pPr>
            <w:r>
              <w:rPr>
                <w:rFonts w:asciiTheme="majorBidi" w:hAnsiTheme="majorBidi" w:cstheme="majorBidi"/>
                <w:sz w:val="18"/>
                <w:szCs w:val="18"/>
              </w:rPr>
              <w:t>11</w:t>
            </w:r>
          </w:p>
        </w:tc>
      </w:tr>
      <w:tr w:rsidR="00CF1981" w:rsidTr="00BB71D6">
        <w:trPr>
          <w:trHeight w:val="382"/>
        </w:trPr>
        <w:tc>
          <w:tcPr>
            <w:tcW w:w="2245" w:type="pct"/>
            <w:tcBorders>
              <w:top w:val="nil"/>
              <w:left w:val="nil"/>
              <w:bottom w:val="nil"/>
              <w:right w:val="nil"/>
            </w:tcBorders>
          </w:tcPr>
          <w:p w:rsidR="00CF1981" w:rsidRDefault="00CF1981" w:rsidP="00BB71D6">
            <w:pPr>
              <w:pStyle w:val="TableParagraph"/>
              <w:spacing w:line="240" w:lineRule="auto"/>
              <w:ind w:left="92" w:right="91"/>
              <w:jc w:val="both"/>
              <w:rPr>
                <w:rFonts w:asciiTheme="majorBidi" w:hAnsiTheme="majorBidi" w:cstheme="majorBidi"/>
                <w:sz w:val="18"/>
                <w:szCs w:val="18"/>
              </w:rPr>
            </w:pPr>
            <w:r>
              <w:rPr>
                <w:rFonts w:asciiTheme="majorBidi" w:hAnsiTheme="majorBidi" w:cstheme="majorBidi"/>
                <w:sz w:val="18"/>
                <w:szCs w:val="18"/>
              </w:rPr>
              <w:t>Contractor</w:t>
            </w:r>
          </w:p>
        </w:tc>
        <w:tc>
          <w:tcPr>
            <w:tcW w:w="1771" w:type="pct"/>
            <w:tcBorders>
              <w:top w:val="nil"/>
              <w:left w:val="nil"/>
              <w:bottom w:val="nil"/>
              <w:right w:val="nil"/>
            </w:tcBorders>
          </w:tcPr>
          <w:p w:rsidR="00CF1981" w:rsidRDefault="00CF1981" w:rsidP="00BB71D6">
            <w:pPr>
              <w:pStyle w:val="TableParagraph"/>
              <w:spacing w:line="240" w:lineRule="auto"/>
              <w:ind w:left="89" w:right="86"/>
              <w:jc w:val="both"/>
              <w:rPr>
                <w:rFonts w:asciiTheme="majorBidi" w:hAnsiTheme="majorBidi" w:cstheme="majorBidi"/>
                <w:sz w:val="18"/>
                <w:szCs w:val="18"/>
              </w:rPr>
            </w:pPr>
            <w:r>
              <w:rPr>
                <w:rFonts w:asciiTheme="majorBidi" w:hAnsiTheme="majorBidi" w:cstheme="majorBidi"/>
                <w:sz w:val="18"/>
                <w:szCs w:val="18"/>
              </w:rPr>
              <w:t>0.739</w:t>
            </w:r>
          </w:p>
        </w:tc>
        <w:tc>
          <w:tcPr>
            <w:tcW w:w="984" w:type="pct"/>
            <w:tcBorders>
              <w:top w:val="nil"/>
              <w:left w:val="nil"/>
              <w:bottom w:val="nil"/>
              <w:right w:val="nil"/>
            </w:tcBorders>
          </w:tcPr>
          <w:p w:rsidR="00CF1981" w:rsidRDefault="00CF1981" w:rsidP="00BB71D6">
            <w:pPr>
              <w:pStyle w:val="TableParagraph"/>
              <w:spacing w:line="240" w:lineRule="auto"/>
              <w:ind w:left="87" w:right="86"/>
              <w:jc w:val="both"/>
              <w:rPr>
                <w:rFonts w:asciiTheme="majorBidi" w:hAnsiTheme="majorBidi" w:cstheme="majorBidi"/>
                <w:sz w:val="18"/>
                <w:szCs w:val="18"/>
              </w:rPr>
            </w:pPr>
            <w:r>
              <w:rPr>
                <w:rFonts w:asciiTheme="majorBidi" w:hAnsiTheme="majorBidi" w:cstheme="majorBidi"/>
                <w:sz w:val="18"/>
                <w:szCs w:val="18"/>
              </w:rPr>
              <w:t>16</w:t>
            </w:r>
          </w:p>
        </w:tc>
      </w:tr>
      <w:tr w:rsidR="00CF1981" w:rsidTr="00BB71D6">
        <w:trPr>
          <w:trHeight w:val="382"/>
        </w:trPr>
        <w:tc>
          <w:tcPr>
            <w:tcW w:w="2245" w:type="pct"/>
            <w:tcBorders>
              <w:top w:val="nil"/>
              <w:left w:val="nil"/>
              <w:bottom w:val="nil"/>
              <w:right w:val="nil"/>
            </w:tcBorders>
          </w:tcPr>
          <w:p w:rsidR="00CF1981" w:rsidRDefault="00CF1981" w:rsidP="00BB71D6">
            <w:pPr>
              <w:pStyle w:val="TableParagraph"/>
              <w:spacing w:line="240" w:lineRule="auto"/>
              <w:ind w:left="92" w:right="91"/>
              <w:jc w:val="both"/>
              <w:rPr>
                <w:rFonts w:asciiTheme="majorBidi" w:hAnsiTheme="majorBidi" w:cstheme="majorBidi"/>
                <w:sz w:val="18"/>
                <w:szCs w:val="18"/>
              </w:rPr>
            </w:pPr>
            <w:r>
              <w:rPr>
                <w:rFonts w:asciiTheme="majorBidi" w:hAnsiTheme="majorBidi" w:cstheme="majorBidi"/>
                <w:sz w:val="18"/>
                <w:szCs w:val="18"/>
              </w:rPr>
              <w:t>Material</w:t>
            </w:r>
          </w:p>
        </w:tc>
        <w:tc>
          <w:tcPr>
            <w:tcW w:w="1771" w:type="pct"/>
            <w:tcBorders>
              <w:top w:val="nil"/>
              <w:left w:val="nil"/>
              <w:bottom w:val="nil"/>
              <w:right w:val="nil"/>
            </w:tcBorders>
          </w:tcPr>
          <w:p w:rsidR="00CF1981" w:rsidRDefault="00CF1981" w:rsidP="00BB71D6">
            <w:pPr>
              <w:pStyle w:val="TableParagraph"/>
              <w:spacing w:line="240" w:lineRule="auto"/>
              <w:ind w:left="89" w:right="88"/>
              <w:jc w:val="both"/>
              <w:rPr>
                <w:rFonts w:asciiTheme="majorBidi" w:hAnsiTheme="majorBidi" w:cstheme="majorBidi"/>
                <w:sz w:val="18"/>
                <w:szCs w:val="18"/>
              </w:rPr>
            </w:pPr>
            <w:r>
              <w:rPr>
                <w:rFonts w:asciiTheme="majorBidi" w:hAnsiTheme="majorBidi" w:cstheme="majorBidi"/>
                <w:sz w:val="18"/>
                <w:szCs w:val="18"/>
              </w:rPr>
              <w:t>0.850</w:t>
            </w:r>
          </w:p>
        </w:tc>
        <w:tc>
          <w:tcPr>
            <w:tcW w:w="984" w:type="pct"/>
            <w:tcBorders>
              <w:top w:val="nil"/>
              <w:left w:val="nil"/>
              <w:bottom w:val="nil"/>
              <w:right w:val="nil"/>
            </w:tcBorders>
          </w:tcPr>
          <w:p w:rsidR="00CF1981" w:rsidRDefault="00CF1981" w:rsidP="00BB71D6">
            <w:pPr>
              <w:pStyle w:val="TableParagraph"/>
              <w:spacing w:line="240" w:lineRule="auto"/>
              <w:ind w:left="87" w:right="87"/>
              <w:jc w:val="both"/>
              <w:rPr>
                <w:rFonts w:asciiTheme="majorBidi" w:hAnsiTheme="majorBidi" w:cstheme="majorBidi"/>
                <w:sz w:val="18"/>
                <w:szCs w:val="18"/>
              </w:rPr>
            </w:pPr>
            <w:r>
              <w:rPr>
                <w:rFonts w:asciiTheme="majorBidi" w:hAnsiTheme="majorBidi" w:cstheme="majorBidi"/>
                <w:sz w:val="18"/>
                <w:szCs w:val="18"/>
              </w:rPr>
              <w:t>06</w:t>
            </w:r>
          </w:p>
        </w:tc>
      </w:tr>
      <w:tr w:rsidR="00CF1981" w:rsidTr="00BB71D6">
        <w:trPr>
          <w:trHeight w:val="382"/>
        </w:trPr>
        <w:tc>
          <w:tcPr>
            <w:tcW w:w="2245" w:type="pct"/>
            <w:tcBorders>
              <w:top w:val="nil"/>
              <w:left w:val="nil"/>
              <w:bottom w:val="single" w:sz="4" w:space="0" w:color="000000"/>
              <w:right w:val="nil"/>
            </w:tcBorders>
          </w:tcPr>
          <w:p w:rsidR="00CF1981" w:rsidRDefault="00CF1981" w:rsidP="00BB71D6">
            <w:pPr>
              <w:pStyle w:val="TableParagraph"/>
              <w:spacing w:line="240" w:lineRule="auto"/>
              <w:ind w:left="92" w:right="91"/>
              <w:jc w:val="both"/>
              <w:rPr>
                <w:rFonts w:asciiTheme="majorBidi" w:hAnsiTheme="majorBidi" w:cstheme="majorBidi"/>
                <w:sz w:val="18"/>
                <w:szCs w:val="18"/>
              </w:rPr>
            </w:pPr>
            <w:r>
              <w:rPr>
                <w:rFonts w:asciiTheme="majorBidi" w:hAnsiTheme="majorBidi" w:cstheme="majorBidi"/>
                <w:sz w:val="18"/>
                <w:szCs w:val="18"/>
              </w:rPr>
              <w:t>External</w:t>
            </w:r>
          </w:p>
        </w:tc>
        <w:tc>
          <w:tcPr>
            <w:tcW w:w="1771" w:type="pct"/>
            <w:tcBorders>
              <w:top w:val="nil"/>
              <w:left w:val="nil"/>
              <w:bottom w:val="single" w:sz="4" w:space="0" w:color="000000"/>
              <w:right w:val="nil"/>
            </w:tcBorders>
          </w:tcPr>
          <w:p w:rsidR="00CF1981" w:rsidRDefault="00CF1981" w:rsidP="00BB71D6">
            <w:pPr>
              <w:pStyle w:val="TableParagraph"/>
              <w:spacing w:line="240" w:lineRule="auto"/>
              <w:ind w:left="89" w:right="88"/>
              <w:jc w:val="both"/>
              <w:rPr>
                <w:rFonts w:asciiTheme="majorBidi" w:hAnsiTheme="majorBidi" w:cstheme="majorBidi"/>
                <w:sz w:val="18"/>
                <w:szCs w:val="18"/>
              </w:rPr>
            </w:pPr>
            <w:r>
              <w:rPr>
                <w:rFonts w:asciiTheme="majorBidi" w:hAnsiTheme="majorBidi" w:cstheme="majorBidi"/>
                <w:sz w:val="18"/>
                <w:szCs w:val="18"/>
              </w:rPr>
              <w:t>0.636</w:t>
            </w:r>
          </w:p>
        </w:tc>
        <w:tc>
          <w:tcPr>
            <w:tcW w:w="984" w:type="pct"/>
            <w:tcBorders>
              <w:top w:val="nil"/>
              <w:left w:val="nil"/>
              <w:bottom w:val="single" w:sz="4" w:space="0" w:color="000000"/>
              <w:right w:val="nil"/>
            </w:tcBorders>
          </w:tcPr>
          <w:p w:rsidR="00CF1981" w:rsidRDefault="00CF1981" w:rsidP="00BB71D6">
            <w:pPr>
              <w:pStyle w:val="TableParagraph"/>
              <w:spacing w:line="240" w:lineRule="auto"/>
              <w:ind w:left="87" w:right="87"/>
              <w:jc w:val="both"/>
              <w:rPr>
                <w:rFonts w:asciiTheme="majorBidi" w:hAnsiTheme="majorBidi" w:cstheme="majorBidi"/>
                <w:sz w:val="18"/>
                <w:szCs w:val="18"/>
              </w:rPr>
            </w:pPr>
            <w:r>
              <w:rPr>
                <w:rFonts w:asciiTheme="majorBidi" w:hAnsiTheme="majorBidi" w:cstheme="majorBidi"/>
                <w:sz w:val="18"/>
                <w:szCs w:val="18"/>
              </w:rPr>
              <w:t>07</w:t>
            </w:r>
          </w:p>
        </w:tc>
      </w:tr>
    </w:tbl>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18"/>
          <w:szCs w:val="18"/>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hAnsiTheme="majorBidi" w:cstheme="majorBidi"/>
          <w:b/>
          <w:bCs/>
          <w:i/>
          <w:iCs/>
          <w:sz w:val="18"/>
          <w:szCs w:val="18"/>
        </w:rPr>
      </w:pPr>
      <w:r>
        <w:rPr>
          <w:rFonts w:asciiTheme="majorBidi" w:hAnsiTheme="majorBidi" w:cstheme="majorBidi"/>
          <w:b/>
          <w:bCs/>
          <w:i/>
          <w:iCs/>
          <w:sz w:val="18"/>
          <w:szCs w:val="18"/>
        </w:rPr>
        <w:t>Table 6</w:t>
      </w:r>
    </w:p>
    <w:p w:rsidR="00CF1981" w:rsidRDefault="00CF1981" w:rsidP="00CF1981">
      <w:pPr>
        <w:pStyle w:val="TableofFigures"/>
        <w:tabs>
          <w:tab w:val="right" w:leader="dot" w:pos="9016"/>
        </w:tabs>
        <w:wordWrap/>
        <w:spacing w:line="240" w:lineRule="auto"/>
        <w:rPr>
          <w:rFonts w:asciiTheme="majorBidi" w:hAnsiTheme="majorBidi" w:cstheme="majorBidi"/>
          <w:i/>
          <w:iCs/>
          <w:sz w:val="18"/>
          <w:szCs w:val="18"/>
          <w:u w:val="single"/>
        </w:rPr>
      </w:pPr>
      <w:r>
        <w:rPr>
          <w:rFonts w:asciiTheme="majorBidi" w:hAnsiTheme="majorBidi" w:cstheme="majorBidi"/>
          <w:i/>
          <w:iCs/>
          <w:sz w:val="18"/>
          <w:szCs w:val="18"/>
        </w:rPr>
        <w:t>RII and Ranked for Delaying Factors</w:t>
      </w:r>
    </w:p>
    <w:tbl>
      <w:tblPr>
        <w:tblW w:w="5000" w:type="pct"/>
        <w:tblLook w:val="04A0" w:firstRow="1" w:lastRow="0" w:firstColumn="1" w:lastColumn="0" w:noHBand="0" w:noVBand="1"/>
      </w:tblPr>
      <w:tblGrid>
        <w:gridCol w:w="2620"/>
        <w:gridCol w:w="612"/>
        <w:gridCol w:w="552"/>
        <w:gridCol w:w="680"/>
        <w:gridCol w:w="568"/>
        <w:gridCol w:w="103"/>
        <w:gridCol w:w="521"/>
        <w:gridCol w:w="18"/>
        <w:gridCol w:w="252"/>
        <w:gridCol w:w="221"/>
      </w:tblGrid>
      <w:tr w:rsidR="00CF1981" w:rsidTr="00BB71D6">
        <w:trPr>
          <w:gridAfter w:val="3"/>
          <w:wAfter w:w="298" w:type="pct"/>
          <w:trHeight w:val="607"/>
        </w:trPr>
        <w:tc>
          <w:tcPr>
            <w:tcW w:w="2549" w:type="pct"/>
            <w:tcBorders>
              <w:top w:val="single" w:sz="8" w:space="0" w:color="auto"/>
              <w:left w:val="nil"/>
              <w:bottom w:val="single" w:sz="4" w:space="0" w:color="auto"/>
              <w:right w:val="single" w:sz="4" w:space="0" w:color="auto"/>
            </w:tcBorders>
            <w:vAlign w:val="center"/>
          </w:tcPr>
          <w:p w:rsidR="00CF1981" w:rsidRDefault="00CF1981" w:rsidP="00BB71D6">
            <w:pPr>
              <w:wordWrap/>
              <w:spacing w:after="0" w:line="240" w:lineRule="auto"/>
              <w:rPr>
                <w:rFonts w:asciiTheme="majorBidi" w:eastAsia="Times New Roman" w:hAnsiTheme="majorBidi" w:cstheme="majorBidi"/>
                <w:b/>
                <w:bCs/>
                <w:kern w:val="0"/>
                <w:sz w:val="18"/>
                <w:szCs w:val="18"/>
              </w:rPr>
            </w:pPr>
            <w:r>
              <w:rPr>
                <w:rFonts w:asciiTheme="majorBidi" w:eastAsia="Times New Roman" w:hAnsiTheme="majorBidi" w:cstheme="majorBidi"/>
                <w:b/>
                <w:bCs/>
                <w:sz w:val="18"/>
                <w:szCs w:val="18"/>
              </w:rPr>
              <w:t>Delaying Factors</w:t>
            </w:r>
          </w:p>
        </w:tc>
        <w:tc>
          <w:tcPr>
            <w:tcW w:w="423" w:type="pct"/>
            <w:tcBorders>
              <w:top w:val="single" w:sz="8" w:space="0" w:color="auto"/>
              <w:left w:val="single" w:sz="4" w:space="0" w:color="auto"/>
              <w:bottom w:val="single" w:sz="4" w:space="0" w:color="auto"/>
              <w:right w:val="single" w:sz="4" w:space="0" w:color="auto"/>
            </w:tcBorders>
            <w:vAlign w:val="center"/>
          </w:tcPr>
          <w:p w:rsidR="00CF1981" w:rsidRDefault="00CF1981" w:rsidP="00BB71D6">
            <w:pPr>
              <w:wordWrap/>
              <w:spacing w:after="0" w:line="240" w:lineRule="auto"/>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RII</w:t>
            </w:r>
          </w:p>
        </w:tc>
        <w:tc>
          <w:tcPr>
            <w:tcW w:w="352" w:type="pct"/>
            <w:tcBorders>
              <w:top w:val="single" w:sz="8" w:space="0" w:color="auto"/>
              <w:left w:val="single" w:sz="4" w:space="0" w:color="auto"/>
              <w:bottom w:val="single" w:sz="4" w:space="0" w:color="auto"/>
              <w:right w:val="single" w:sz="4" w:space="0" w:color="auto"/>
            </w:tcBorders>
            <w:vAlign w:val="center"/>
          </w:tcPr>
          <w:p w:rsidR="00CF1981" w:rsidRDefault="00CF1981" w:rsidP="00BB71D6">
            <w:pPr>
              <w:wordWrap/>
              <w:spacing w:after="0" w:line="240" w:lineRule="auto"/>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Rank</w:t>
            </w:r>
          </w:p>
        </w:tc>
        <w:tc>
          <w:tcPr>
            <w:tcW w:w="598" w:type="pct"/>
            <w:tcBorders>
              <w:top w:val="single" w:sz="8" w:space="0" w:color="auto"/>
              <w:left w:val="single" w:sz="4" w:space="0" w:color="auto"/>
              <w:bottom w:val="single" w:sz="4" w:space="0" w:color="auto"/>
              <w:right w:val="single" w:sz="4" w:space="0" w:color="auto"/>
            </w:tcBorders>
            <w:vAlign w:val="center"/>
          </w:tcPr>
          <w:p w:rsidR="00CF1981" w:rsidRDefault="00CF1981" w:rsidP="00BB71D6">
            <w:pPr>
              <w:wordWrap/>
              <w:spacing w:after="0" w:line="240" w:lineRule="auto"/>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Overall Rank</w:t>
            </w:r>
          </w:p>
        </w:tc>
        <w:tc>
          <w:tcPr>
            <w:tcW w:w="363" w:type="pct"/>
            <w:tcBorders>
              <w:top w:val="single" w:sz="8" w:space="0" w:color="auto"/>
              <w:left w:val="single" w:sz="4" w:space="0" w:color="auto"/>
              <w:bottom w:val="single" w:sz="4" w:space="0" w:color="auto"/>
              <w:right w:val="single" w:sz="4" w:space="0" w:color="auto"/>
            </w:tcBorders>
            <w:vAlign w:val="center"/>
          </w:tcPr>
          <w:p w:rsidR="00CF1981" w:rsidRDefault="00CF1981" w:rsidP="00BB71D6">
            <w:pPr>
              <w:wordWrap/>
              <w:spacing w:after="0" w:line="240" w:lineRule="auto"/>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Mean</w:t>
            </w:r>
          </w:p>
        </w:tc>
        <w:tc>
          <w:tcPr>
            <w:tcW w:w="418" w:type="pct"/>
            <w:gridSpan w:val="2"/>
            <w:tcBorders>
              <w:top w:val="single" w:sz="8" w:space="0" w:color="auto"/>
              <w:left w:val="single" w:sz="4" w:space="0" w:color="auto"/>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 xml:space="preserve"> Std. D</w:t>
            </w:r>
          </w:p>
        </w:tc>
      </w:tr>
      <w:tr w:rsidR="00CF1981" w:rsidTr="00BB71D6">
        <w:trPr>
          <w:gridAfter w:val="2"/>
          <w:wAfter w:w="284" w:type="pct"/>
          <w:trHeight w:val="305"/>
        </w:trPr>
        <w:tc>
          <w:tcPr>
            <w:tcW w:w="4716" w:type="pct"/>
            <w:gridSpan w:val="8"/>
            <w:tcBorders>
              <w:top w:val="single" w:sz="4" w:space="0" w:color="auto"/>
              <w:left w:val="nil"/>
              <w:bottom w:val="single" w:sz="4" w:space="0" w:color="auto"/>
              <w:right w:val="nil"/>
            </w:tcBorders>
          </w:tcPr>
          <w:p w:rsidR="00CF1981" w:rsidRDefault="00CF1981" w:rsidP="00BB71D6">
            <w:pPr>
              <w:wordWrap/>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Higher Education Commission (HEC) Group</w:t>
            </w:r>
          </w:p>
        </w:tc>
      </w:tr>
      <w:tr w:rsidR="00CF1981" w:rsidTr="00BB71D6">
        <w:trPr>
          <w:gridAfter w:val="2"/>
          <w:wAfter w:w="284"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PC-1 goals not matching with the real project</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0.9124</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01</w:t>
            </w:r>
          </w:p>
        </w:tc>
        <w:tc>
          <w:tcPr>
            <w:tcW w:w="598" w:type="pct"/>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05</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4.56</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1.01</w:t>
            </w:r>
          </w:p>
        </w:tc>
      </w:tr>
      <w:tr w:rsidR="00CF1981" w:rsidTr="00BB71D6">
        <w:trPr>
          <w:gridAfter w:val="2"/>
          <w:wAfter w:w="284" w:type="pct"/>
          <w:trHeight w:val="433"/>
        </w:trPr>
        <w:tc>
          <w:tcPr>
            <w:tcW w:w="2549" w:type="pct"/>
            <w:vMerge w:val="restar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delay in running IPCs payments by the department </w:t>
            </w:r>
          </w:p>
        </w:tc>
        <w:tc>
          <w:tcPr>
            <w:tcW w:w="423" w:type="pct"/>
            <w:vMerge w:val="restar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0.9019</w:t>
            </w:r>
          </w:p>
        </w:tc>
        <w:tc>
          <w:tcPr>
            <w:tcW w:w="352" w:type="pct"/>
            <w:vMerge w:val="restar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02</w:t>
            </w:r>
          </w:p>
        </w:tc>
        <w:tc>
          <w:tcPr>
            <w:tcW w:w="598" w:type="pct"/>
            <w:vMerge w:val="restart"/>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06</w:t>
            </w:r>
          </w:p>
        </w:tc>
        <w:tc>
          <w:tcPr>
            <w:tcW w:w="422" w:type="pct"/>
            <w:gridSpan w:val="2"/>
            <w:vMerge w:val="restart"/>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4.5</w:t>
            </w:r>
          </w:p>
        </w:tc>
        <w:tc>
          <w:tcPr>
            <w:tcW w:w="373" w:type="pct"/>
            <w:gridSpan w:val="2"/>
            <w:vMerge w:val="restart"/>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1.15</w:t>
            </w:r>
          </w:p>
        </w:tc>
      </w:tr>
      <w:tr w:rsidR="00CF1981" w:rsidTr="00BB71D6">
        <w:trPr>
          <w:gridAfter w:val="1"/>
          <w:wAfter w:w="122" w:type="pct"/>
          <w:trHeight w:val="64"/>
        </w:trPr>
        <w:tc>
          <w:tcPr>
            <w:tcW w:w="2549" w:type="pct"/>
            <w:vMerge/>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p>
        </w:tc>
        <w:tc>
          <w:tcPr>
            <w:tcW w:w="423" w:type="pct"/>
            <w:vMerge/>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p>
        </w:tc>
        <w:tc>
          <w:tcPr>
            <w:tcW w:w="352" w:type="pct"/>
            <w:vMerge/>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p>
        </w:tc>
        <w:tc>
          <w:tcPr>
            <w:tcW w:w="598" w:type="pct"/>
            <w:vMerge/>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p>
        </w:tc>
        <w:tc>
          <w:tcPr>
            <w:tcW w:w="422" w:type="pct"/>
            <w:gridSpan w:val="2"/>
            <w:vMerge/>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p>
        </w:tc>
        <w:tc>
          <w:tcPr>
            <w:tcW w:w="373" w:type="pct"/>
            <w:gridSpan w:val="2"/>
            <w:vMerge/>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p>
        </w:tc>
        <w:tc>
          <w:tcPr>
            <w:tcW w:w="162" w:type="pct"/>
            <w:vAlign w:val="center"/>
          </w:tcPr>
          <w:p w:rsidR="00CF1981" w:rsidRDefault="00CF1981" w:rsidP="00BB71D6">
            <w:pPr>
              <w:wordWrap/>
              <w:spacing w:after="0" w:line="240" w:lineRule="auto"/>
              <w:rPr>
                <w:rFonts w:asciiTheme="majorBidi" w:eastAsia="Times New Roman" w:hAnsiTheme="majorBidi" w:cstheme="majorBidi"/>
                <w:sz w:val="18"/>
                <w:szCs w:val="18"/>
              </w:rPr>
            </w:pPr>
          </w:p>
        </w:tc>
      </w:tr>
      <w:tr w:rsidR="00CF1981" w:rsidTr="00BB71D6">
        <w:trPr>
          <w:gridAfter w:val="1"/>
          <w:wAfter w:w="122" w:type="pct"/>
          <w:trHeight w:val="161"/>
        </w:trPr>
        <w:tc>
          <w:tcPr>
            <w:tcW w:w="2549" w:type="pct"/>
            <w:vMerge w:val="restar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Delay in the recruitment process of consultants</w:t>
            </w:r>
          </w:p>
        </w:tc>
        <w:tc>
          <w:tcPr>
            <w:tcW w:w="423" w:type="pct"/>
            <w:vMerge w:val="restar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0.7843</w:t>
            </w:r>
          </w:p>
        </w:tc>
        <w:tc>
          <w:tcPr>
            <w:tcW w:w="352" w:type="pct"/>
            <w:vMerge w:val="restar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03</w:t>
            </w:r>
          </w:p>
        </w:tc>
        <w:tc>
          <w:tcPr>
            <w:tcW w:w="598" w:type="pct"/>
            <w:vMerge w:val="restart"/>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13</w:t>
            </w:r>
          </w:p>
        </w:tc>
        <w:tc>
          <w:tcPr>
            <w:tcW w:w="422" w:type="pct"/>
            <w:gridSpan w:val="2"/>
            <w:vMerge w:val="restart"/>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3.92</w:t>
            </w:r>
          </w:p>
        </w:tc>
        <w:tc>
          <w:tcPr>
            <w:tcW w:w="373" w:type="pct"/>
            <w:gridSpan w:val="2"/>
            <w:vMerge w:val="restart"/>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1.15</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89"/>
        </w:trPr>
        <w:tc>
          <w:tcPr>
            <w:tcW w:w="2549" w:type="pct"/>
            <w:vMerge/>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p>
        </w:tc>
        <w:tc>
          <w:tcPr>
            <w:tcW w:w="423" w:type="pct"/>
            <w:vMerge/>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p>
        </w:tc>
        <w:tc>
          <w:tcPr>
            <w:tcW w:w="352" w:type="pct"/>
            <w:vMerge/>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p>
        </w:tc>
        <w:tc>
          <w:tcPr>
            <w:tcW w:w="598" w:type="pct"/>
            <w:vMerge/>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p>
        </w:tc>
        <w:tc>
          <w:tcPr>
            <w:tcW w:w="422" w:type="pct"/>
            <w:gridSpan w:val="2"/>
            <w:vMerge/>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p>
        </w:tc>
        <w:tc>
          <w:tcPr>
            <w:tcW w:w="373" w:type="pct"/>
            <w:gridSpan w:val="2"/>
            <w:vMerge/>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p>
        </w:tc>
        <w:tc>
          <w:tcPr>
            <w:tcW w:w="162" w:type="pct"/>
            <w:vAlign w:val="center"/>
          </w:tcPr>
          <w:p w:rsidR="00CF1981" w:rsidRDefault="00CF1981" w:rsidP="00BB71D6">
            <w:pPr>
              <w:wordWrap/>
              <w:spacing w:after="0" w:line="240" w:lineRule="auto"/>
              <w:rPr>
                <w:rFonts w:asciiTheme="majorBidi" w:eastAsia="Times New Roman" w:hAnsiTheme="majorBidi" w:cstheme="majorBidi"/>
                <w:sz w:val="18"/>
                <w:szCs w:val="18"/>
              </w:rPr>
            </w:pPr>
          </w:p>
        </w:tc>
      </w:tr>
      <w:tr w:rsidR="00CF1981" w:rsidTr="00BB71D6">
        <w:trPr>
          <w:gridAfter w:val="1"/>
          <w:wAfter w:w="122" w:type="pct"/>
          <w:trHeight w:val="253"/>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Non-availability of Project Director</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0.7751</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04</w:t>
            </w:r>
          </w:p>
        </w:tc>
        <w:tc>
          <w:tcPr>
            <w:tcW w:w="598" w:type="pct"/>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16</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3.87</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1.22</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53"/>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Delay in the approval of a Master </w:t>
            </w:r>
            <w:r>
              <w:rPr>
                <w:rFonts w:asciiTheme="majorBidi" w:eastAsia="Times New Roman" w:hAnsiTheme="majorBidi" w:cstheme="majorBidi"/>
                <w:sz w:val="18"/>
                <w:szCs w:val="18"/>
              </w:rPr>
              <w:lastRenderedPageBreak/>
              <w:t>Plan</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lastRenderedPageBreak/>
              <w:t>0.75</w:t>
            </w:r>
            <w:r>
              <w:rPr>
                <w:rFonts w:asciiTheme="majorBidi" w:eastAsia="Times New Roman" w:hAnsiTheme="majorBidi" w:cstheme="majorBidi"/>
                <w:sz w:val="18"/>
                <w:szCs w:val="18"/>
              </w:rPr>
              <w:lastRenderedPageBreak/>
              <w:t>42</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lastRenderedPageBreak/>
              <w:t>05</w:t>
            </w:r>
          </w:p>
        </w:tc>
        <w:tc>
          <w:tcPr>
            <w:tcW w:w="598" w:type="pct"/>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21</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3.77</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1.39</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lastRenderedPageBreak/>
              <w:t>Lack of Communication with HEIs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0.7150</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06</w:t>
            </w:r>
          </w:p>
        </w:tc>
        <w:tc>
          <w:tcPr>
            <w:tcW w:w="598" w:type="pct"/>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36</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3.57</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1.27</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93"/>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Availability of funds for variations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0.6575</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w:t>
            </w:r>
          </w:p>
        </w:tc>
        <w:tc>
          <w:tcPr>
            <w:tcW w:w="598" w:type="pct"/>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44 </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2.55</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1.60</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30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Non-availability of a legal advisor</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0.5111</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08</w:t>
            </w:r>
          </w:p>
        </w:tc>
        <w:tc>
          <w:tcPr>
            <w:tcW w:w="598" w:type="pct"/>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55</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3.28</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1.22</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trHeight w:val="296"/>
        </w:trPr>
        <w:tc>
          <w:tcPr>
            <w:tcW w:w="4716" w:type="pct"/>
            <w:gridSpan w:val="8"/>
            <w:tcBorders>
              <w:top w:val="single" w:sz="4" w:space="0" w:color="auto"/>
              <w:left w:val="nil"/>
              <w:bottom w:val="single" w:sz="4" w:space="0" w:color="auto"/>
              <w:right w:val="nil"/>
            </w:tcBorders>
          </w:tcPr>
          <w:p w:rsidR="00CF1981" w:rsidRDefault="00CF1981" w:rsidP="00BB71D6">
            <w:pPr>
              <w:wordWrap/>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Higher Education Institution (HEI) Group</w:t>
            </w:r>
          </w:p>
        </w:tc>
        <w:tc>
          <w:tcPr>
            <w:tcW w:w="162" w:type="pct"/>
            <w:tcBorders>
              <w:top w:val="nil"/>
              <w:left w:val="nil"/>
              <w:bottom w:val="single" w:sz="8" w:space="0" w:color="auto"/>
              <w:right w:val="nil"/>
            </w:tcBorders>
            <w:vAlign w:val="center"/>
          </w:tcPr>
          <w:p w:rsidR="00CF1981" w:rsidRDefault="00CF1981" w:rsidP="00BB71D6">
            <w:pPr>
              <w:wordWrap/>
              <w:spacing w:after="0" w:line="240" w:lineRule="auto"/>
              <w:rPr>
                <w:rFonts w:asciiTheme="majorBidi" w:eastAsia="LM Roman 12" w:hAnsiTheme="majorBidi" w:cstheme="majorBidi"/>
                <w:sz w:val="18"/>
                <w:szCs w:val="18"/>
              </w:rPr>
            </w:pPr>
            <w:r>
              <w:rPr>
                <w:rFonts w:asciiTheme="majorBidi" w:hAnsiTheme="majorBidi" w:cstheme="majorBidi"/>
                <w:sz w:val="18"/>
                <w:szCs w:val="18"/>
              </w:rPr>
              <w:t> </w:t>
            </w:r>
          </w:p>
        </w:tc>
        <w:tc>
          <w:tcPr>
            <w:tcW w:w="12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79"/>
        </w:trPr>
        <w:tc>
          <w:tcPr>
            <w:tcW w:w="2549" w:type="pct"/>
            <w:tcBorders>
              <w:top w:val="single" w:sz="4" w:space="0" w:color="auto"/>
              <w:left w:val="nil"/>
              <w:bottom w:val="single" w:sz="4" w:space="0" w:color="auto"/>
              <w:right w:val="nil"/>
            </w:tcBorders>
            <w:shd w:val="clear" w:color="auto" w:fill="FFFFFF"/>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Corruption tendencies </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0.9346</w:t>
            </w:r>
          </w:p>
        </w:tc>
        <w:tc>
          <w:tcPr>
            <w:tcW w:w="352"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01</w:t>
            </w:r>
          </w:p>
        </w:tc>
        <w:tc>
          <w:tcPr>
            <w:tcW w:w="598" w:type="pct"/>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01</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4.67</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0.87</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79"/>
        </w:trPr>
        <w:tc>
          <w:tcPr>
            <w:tcW w:w="2549" w:type="pct"/>
            <w:tcBorders>
              <w:top w:val="single" w:sz="4" w:space="0" w:color="auto"/>
              <w:left w:val="nil"/>
              <w:bottom w:val="single" w:sz="4" w:space="0" w:color="auto"/>
              <w:right w:val="nil"/>
            </w:tcBorders>
            <w:shd w:val="clear" w:color="auto" w:fill="FFFFFF"/>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Selection of Incompetent Project Director</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0.9307</w:t>
            </w:r>
          </w:p>
        </w:tc>
        <w:tc>
          <w:tcPr>
            <w:tcW w:w="352"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02</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02</w:t>
            </w:r>
          </w:p>
        </w:tc>
        <w:tc>
          <w:tcPr>
            <w:tcW w:w="422"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4.65</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0.91</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79"/>
        </w:trPr>
        <w:tc>
          <w:tcPr>
            <w:tcW w:w="2549"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The hiring of non-technical staff for a technical position</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0.9300</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03</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03</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4.65</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0.86</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79"/>
        </w:trPr>
        <w:tc>
          <w:tcPr>
            <w:tcW w:w="2549"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A complicated system of file processing</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0.9150</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04</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04</w:t>
            </w:r>
          </w:p>
        </w:tc>
        <w:tc>
          <w:tcPr>
            <w:tcW w:w="422"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4.57</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1.01</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79"/>
        </w:trPr>
        <w:tc>
          <w:tcPr>
            <w:tcW w:w="2549"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Lack of interdepartmental SoPs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0.7908</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05</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w:t>
            </w:r>
          </w:p>
        </w:tc>
        <w:tc>
          <w:tcPr>
            <w:tcW w:w="422"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3.95</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1.00</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534"/>
        </w:trPr>
        <w:tc>
          <w:tcPr>
            <w:tcW w:w="2549"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Law regulations of Pakistan i.e., PPRA, KPPRA </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0.7712</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06</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18</w:t>
            </w:r>
          </w:p>
        </w:tc>
        <w:tc>
          <w:tcPr>
            <w:tcW w:w="422"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3.85</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1.08</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Inadequate project feasibility study</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0.7660</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19</w:t>
            </w:r>
          </w:p>
        </w:tc>
        <w:tc>
          <w:tcPr>
            <w:tcW w:w="422"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3.83</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1.15</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Office Politics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0.7529</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08</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22</w:t>
            </w:r>
          </w:p>
        </w:tc>
        <w:tc>
          <w:tcPr>
            <w:tcW w:w="422"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3.76</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1.04 </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The slow decision-making process of the HEI</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0.7464</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09</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25</w:t>
            </w:r>
          </w:p>
        </w:tc>
        <w:tc>
          <w:tcPr>
            <w:tcW w:w="422"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3.73</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1.21</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Absence of management of Planning and Works staff</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0.7450</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26</w:t>
            </w:r>
          </w:p>
        </w:tc>
        <w:tc>
          <w:tcPr>
            <w:tcW w:w="422"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3.72</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1.17</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534"/>
        </w:trPr>
        <w:tc>
          <w:tcPr>
            <w:tcW w:w="2549"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Variation in works scope, like description, and contract of works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0.7398</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28</w:t>
            </w:r>
          </w:p>
        </w:tc>
        <w:tc>
          <w:tcPr>
            <w:tcW w:w="422"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3.69</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1.22</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Selection of incompetent consultants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0.7372</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30</w:t>
            </w:r>
          </w:p>
        </w:tc>
        <w:tc>
          <w:tcPr>
            <w:tcW w:w="422"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3.68</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1.26</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No sanction power with Engineering Staff</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0.7249</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13</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33</w:t>
            </w:r>
          </w:p>
        </w:tc>
        <w:tc>
          <w:tcPr>
            <w:tcW w:w="422"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3.64</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1.14</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Strength of Engineering staff</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0.7111</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14</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38</w:t>
            </w:r>
          </w:p>
        </w:tc>
        <w:tc>
          <w:tcPr>
            <w:tcW w:w="422"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3.55</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1.20</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Incompetency of Engineering staff</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0.7019</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15</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41</w:t>
            </w:r>
          </w:p>
        </w:tc>
        <w:tc>
          <w:tcPr>
            <w:tcW w:w="422"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3.50</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1.30</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Belief absence in Engineering staff</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0.6483</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16</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45</w:t>
            </w:r>
          </w:p>
        </w:tc>
        <w:tc>
          <w:tcPr>
            <w:tcW w:w="422"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3.24</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1.28</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Interruption in running IPCs payments to the contractors </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0.5895</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17</w:t>
            </w:r>
          </w:p>
        </w:tc>
        <w:tc>
          <w:tcPr>
            <w:tcW w:w="598" w:type="pct"/>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47</w:t>
            </w:r>
          </w:p>
        </w:tc>
        <w:tc>
          <w:tcPr>
            <w:tcW w:w="422"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2.94</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1.44</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Land clash during purchasing of land</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0.6039</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18</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46</w:t>
            </w:r>
          </w:p>
        </w:tc>
        <w:tc>
          <w:tcPr>
            <w:tcW w:w="422"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3.01</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1.17</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Procurement rules complexity </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0.4575</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19</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56</w:t>
            </w:r>
          </w:p>
        </w:tc>
        <w:tc>
          <w:tcPr>
            <w:tcW w:w="422"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2.28</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1.12</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trHeight w:val="350"/>
        </w:trPr>
        <w:tc>
          <w:tcPr>
            <w:tcW w:w="4716" w:type="pct"/>
            <w:gridSpan w:val="8"/>
            <w:tcBorders>
              <w:top w:val="single" w:sz="4" w:space="0" w:color="auto"/>
              <w:left w:val="nil"/>
              <w:bottom w:val="single" w:sz="4" w:space="0" w:color="auto"/>
              <w:right w:val="nil"/>
            </w:tcBorders>
          </w:tcPr>
          <w:p w:rsidR="00CF1981" w:rsidRDefault="00CF1981" w:rsidP="00BB71D6">
            <w:pPr>
              <w:wordWrap/>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Consultant (CON) Group</w:t>
            </w:r>
          </w:p>
        </w:tc>
        <w:tc>
          <w:tcPr>
            <w:tcW w:w="162" w:type="pct"/>
            <w:tcBorders>
              <w:top w:val="nil"/>
              <w:left w:val="nil"/>
              <w:bottom w:val="single" w:sz="8" w:space="0" w:color="auto"/>
              <w:right w:val="nil"/>
            </w:tcBorders>
            <w:vAlign w:val="center"/>
          </w:tcPr>
          <w:p w:rsidR="00CF1981" w:rsidRDefault="00CF1981" w:rsidP="00BB71D6">
            <w:pPr>
              <w:wordWrap/>
              <w:spacing w:after="0" w:line="240" w:lineRule="auto"/>
              <w:rPr>
                <w:rFonts w:asciiTheme="majorBidi" w:eastAsia="LM Roman 12" w:hAnsiTheme="majorBidi" w:cstheme="majorBidi"/>
                <w:sz w:val="18"/>
                <w:szCs w:val="18"/>
              </w:rPr>
            </w:pPr>
            <w:r>
              <w:rPr>
                <w:rFonts w:asciiTheme="majorBidi" w:hAnsiTheme="majorBidi" w:cstheme="majorBidi"/>
                <w:sz w:val="18"/>
                <w:szCs w:val="18"/>
              </w:rPr>
              <w:t> </w:t>
            </w:r>
          </w:p>
        </w:tc>
        <w:tc>
          <w:tcPr>
            <w:tcW w:w="12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unskilled consultants win the project by below rates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0.8143</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08</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4.07</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0.95</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Errors and disagreements in contract documents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0.8091</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09</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4.04</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1.18</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lastRenderedPageBreak/>
              <w:t>Inadequate and wrong contract bidding documents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0.8013</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4.00</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1.20</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Uncertain and insufficient details in the drawing</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0.7790</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15</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3.89</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1.10</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Interruption in the endorsement of a master plan</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0.7738</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5</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17</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3.86</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1.00</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Regularly change of project execution staff</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0.7450</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6</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26</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3.72</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1.14</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unclear feasibility report and survey of the project</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0.7320</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7</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32</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3.66</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1.27</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Unauthorized consultant project execution staff</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0.7215</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8</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34</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3.60</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1.18</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Designing not as per advanced Engineering Software</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0.7124</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9</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37</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3.56</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1.075</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Improper supervision of the staff</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0.7098</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39</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3.54</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1.26</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Time extension and payment dispute</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0.7071</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40</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3.53</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1.29</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trHeight w:val="224"/>
        </w:trPr>
        <w:tc>
          <w:tcPr>
            <w:tcW w:w="4716" w:type="pct"/>
            <w:gridSpan w:val="8"/>
            <w:tcBorders>
              <w:top w:val="single" w:sz="4" w:space="0" w:color="auto"/>
              <w:left w:val="nil"/>
              <w:bottom w:val="single" w:sz="4" w:space="0" w:color="auto"/>
              <w:right w:val="nil"/>
            </w:tcBorders>
          </w:tcPr>
          <w:p w:rsidR="00CF1981" w:rsidRDefault="00CF1981" w:rsidP="00BB71D6">
            <w:pPr>
              <w:wordWrap/>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Contractor (COT) Group</w:t>
            </w:r>
          </w:p>
        </w:tc>
        <w:tc>
          <w:tcPr>
            <w:tcW w:w="162" w:type="pct"/>
            <w:tcBorders>
              <w:top w:val="nil"/>
              <w:left w:val="nil"/>
              <w:bottom w:val="single" w:sz="8" w:space="0" w:color="auto"/>
              <w:right w:val="nil"/>
            </w:tcBorders>
            <w:vAlign w:val="center"/>
          </w:tcPr>
          <w:p w:rsidR="00CF1981" w:rsidRDefault="00CF1981" w:rsidP="00BB71D6">
            <w:pPr>
              <w:wordWrap/>
              <w:spacing w:after="0" w:line="240" w:lineRule="auto"/>
              <w:rPr>
                <w:rFonts w:asciiTheme="majorBidi" w:eastAsia="LM Roman 12" w:hAnsiTheme="majorBidi" w:cstheme="majorBidi"/>
                <w:sz w:val="18"/>
                <w:szCs w:val="18"/>
              </w:rPr>
            </w:pPr>
            <w:r>
              <w:rPr>
                <w:rFonts w:asciiTheme="majorBidi" w:hAnsiTheme="majorBidi" w:cstheme="majorBidi"/>
                <w:sz w:val="18"/>
                <w:szCs w:val="18"/>
              </w:rPr>
              <w:t> </w:t>
            </w:r>
          </w:p>
        </w:tc>
        <w:tc>
          <w:tcPr>
            <w:tcW w:w="12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Deployment delay of the contractor</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0.7830</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14</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2.62</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1.37</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Unavailability of advanced construction equipment</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0.7555</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20</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3.50</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1.18</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Incompetent contractors win the bid</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0.7516</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22</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3.74</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1.10</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Absence of specialized techniques by the contractors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0.7490</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24</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3.71</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1.21</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The gap between the department and the consultant </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0.7450</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5</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26</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3.66</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1.23</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Unstable ground for sub-contractors of the project</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0.7424</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6</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29</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2.83</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1.32</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Shortage of skilled labors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0.7346</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7</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31</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3.74</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1.10</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The low productivity level of skilled labors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0.732</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8</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32</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3.71</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1.21</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Non-availability of remote location costs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0.7111</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9</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38</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3.42</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0.97</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Financial constraints of contractor</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0.7006</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42</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2.90</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1.51</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Lack of labors compensation policy</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0.6849</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3.77</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1.04</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Poor managerial skills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0.5816</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48</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2.87</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1.02</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Absence of Safety actions for labors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0.5751</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13</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49</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3.55</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1.14</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Unproductive outcomes of testing equipment</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0.5673</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14</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50</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3.6</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1.23</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Financial indiscipline/dishonesty</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0.5254</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15</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54</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3.91</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1.01</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Selection of incompetent contractors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0.4405</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16</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57</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2.20</w:t>
            </w:r>
          </w:p>
        </w:tc>
        <w:tc>
          <w:tcPr>
            <w:tcW w:w="373"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1.05</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trHeight w:val="266"/>
        </w:trPr>
        <w:tc>
          <w:tcPr>
            <w:tcW w:w="4716" w:type="pct"/>
            <w:gridSpan w:val="8"/>
            <w:tcBorders>
              <w:top w:val="single" w:sz="4" w:space="0" w:color="auto"/>
              <w:left w:val="nil"/>
              <w:bottom w:val="single" w:sz="4" w:space="0" w:color="auto"/>
              <w:right w:val="nil"/>
            </w:tcBorders>
          </w:tcPr>
          <w:p w:rsidR="00CF1981" w:rsidRDefault="00CF1981" w:rsidP="00BB71D6">
            <w:pPr>
              <w:wordWrap/>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Material (MA) Group</w:t>
            </w:r>
          </w:p>
        </w:tc>
        <w:tc>
          <w:tcPr>
            <w:tcW w:w="162" w:type="pct"/>
            <w:tcBorders>
              <w:top w:val="nil"/>
              <w:left w:val="nil"/>
              <w:bottom w:val="single" w:sz="8" w:space="0" w:color="auto"/>
              <w:right w:val="nil"/>
            </w:tcBorders>
            <w:vAlign w:val="center"/>
          </w:tcPr>
          <w:p w:rsidR="00CF1981" w:rsidRDefault="00CF1981" w:rsidP="00BB71D6">
            <w:pPr>
              <w:wordWrap/>
              <w:spacing w:after="0" w:line="240" w:lineRule="auto"/>
              <w:rPr>
                <w:rFonts w:asciiTheme="majorBidi" w:eastAsia="LM Roman 12" w:hAnsiTheme="majorBidi" w:cstheme="majorBidi"/>
                <w:sz w:val="18"/>
                <w:szCs w:val="18"/>
              </w:rPr>
            </w:pPr>
            <w:r>
              <w:rPr>
                <w:rFonts w:asciiTheme="majorBidi" w:hAnsiTheme="majorBidi" w:cstheme="majorBidi"/>
                <w:sz w:val="18"/>
                <w:szCs w:val="18"/>
              </w:rPr>
              <w:t> </w:t>
            </w:r>
          </w:p>
        </w:tc>
        <w:tc>
          <w:tcPr>
            <w:tcW w:w="12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8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Scarcity of already approved materials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0.7738</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17</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3.86</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1.23</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lastRenderedPageBreak/>
              <w:t>Department requirements for superior construction materials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0.7464</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25</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3.73</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1.26</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Absence of Local material at the project sites, not approved material</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0.7437</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27</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3.71</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1.22</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Delay in material delivery</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0.7320</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32</w:t>
            </w:r>
          </w:p>
        </w:tc>
        <w:tc>
          <w:tcPr>
            <w:tcW w:w="422" w:type="pct"/>
            <w:gridSpan w:val="2"/>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3.66</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1.07</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Failure of tests of site materials </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0.7189</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5</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35</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3.59</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1.07</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Fluctuation in material prices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0.6666</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6</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43</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3.33</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1.26</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trHeight w:val="351"/>
        </w:trPr>
        <w:tc>
          <w:tcPr>
            <w:tcW w:w="4716" w:type="pct"/>
            <w:gridSpan w:val="8"/>
            <w:tcBorders>
              <w:top w:val="single" w:sz="4" w:space="0" w:color="auto"/>
              <w:left w:val="nil"/>
              <w:bottom w:val="single" w:sz="4" w:space="0" w:color="auto"/>
              <w:right w:val="nil"/>
            </w:tcBorders>
          </w:tcPr>
          <w:p w:rsidR="00CF1981" w:rsidRDefault="00CF1981" w:rsidP="00BB71D6">
            <w:pPr>
              <w:wordWrap/>
              <w:spacing w:after="0" w:line="240" w:lineRule="auto"/>
              <w:jc w:val="center"/>
              <w:rPr>
                <w:rFonts w:asciiTheme="majorBidi" w:eastAsia="Times New Roman" w:hAnsiTheme="majorBidi" w:cstheme="majorBidi"/>
                <w:b/>
                <w:bCs/>
                <w:sz w:val="18"/>
                <w:szCs w:val="18"/>
              </w:rPr>
            </w:pPr>
            <w:r>
              <w:rPr>
                <w:rFonts w:asciiTheme="majorBidi" w:eastAsia="Times New Roman" w:hAnsiTheme="majorBidi" w:cstheme="majorBidi"/>
                <w:b/>
                <w:bCs/>
                <w:sz w:val="18"/>
                <w:szCs w:val="18"/>
              </w:rPr>
              <w:t>External (EX) Group</w:t>
            </w:r>
          </w:p>
        </w:tc>
        <w:tc>
          <w:tcPr>
            <w:tcW w:w="162" w:type="pct"/>
            <w:tcBorders>
              <w:top w:val="nil"/>
              <w:left w:val="nil"/>
              <w:bottom w:val="single" w:sz="8" w:space="0" w:color="auto"/>
              <w:right w:val="nil"/>
            </w:tcBorders>
            <w:vAlign w:val="center"/>
          </w:tcPr>
          <w:p w:rsidR="00CF1981" w:rsidRDefault="00CF1981" w:rsidP="00BB71D6">
            <w:pPr>
              <w:wordWrap/>
              <w:spacing w:after="0" w:line="240" w:lineRule="auto"/>
              <w:rPr>
                <w:rFonts w:asciiTheme="majorBidi" w:eastAsia="LM Roman 12" w:hAnsiTheme="majorBidi" w:cstheme="majorBidi"/>
                <w:sz w:val="18"/>
                <w:szCs w:val="18"/>
              </w:rPr>
            </w:pPr>
            <w:r>
              <w:rPr>
                <w:rFonts w:asciiTheme="majorBidi" w:hAnsiTheme="majorBidi" w:cstheme="majorBidi"/>
                <w:sz w:val="18"/>
                <w:szCs w:val="18"/>
              </w:rPr>
              <w:t> </w:t>
            </w:r>
          </w:p>
        </w:tc>
        <w:tc>
          <w:tcPr>
            <w:tcW w:w="12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Political/bureaucratic impediments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0.8405</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4.20</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1.02</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Unreliable suppliers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0.7882</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3.94</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0.97</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Nonexclusive interference</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0.7529</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22</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3.76</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1.09</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 xml:space="preserve">Violence/militancy  </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0.7437</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4</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27</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3.71</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1.14</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Mishaps in construction sites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0.5594</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5</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51</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2.79</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1.25</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Natural disasters i.e. (floods, hurricanes, earthquakes)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0.5385</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6</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52</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2.69</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1.46</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r w:rsidR="00CF1981" w:rsidTr="00BB71D6">
        <w:trPr>
          <w:gridAfter w:val="1"/>
          <w:wAfter w:w="122" w:type="pct"/>
          <w:trHeight w:val="266"/>
        </w:trPr>
        <w:tc>
          <w:tcPr>
            <w:tcW w:w="2549"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Unfavorable weather conditions</w:t>
            </w:r>
          </w:p>
        </w:tc>
        <w:tc>
          <w:tcPr>
            <w:tcW w:w="423"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0.5320</w:t>
            </w:r>
          </w:p>
        </w:tc>
        <w:tc>
          <w:tcPr>
            <w:tcW w:w="352" w:type="pct"/>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7</w:t>
            </w:r>
          </w:p>
        </w:tc>
        <w:tc>
          <w:tcPr>
            <w:tcW w:w="598" w:type="pct"/>
            <w:tcBorders>
              <w:top w:val="single" w:sz="4" w:space="0" w:color="auto"/>
              <w:left w:val="nil"/>
              <w:bottom w:val="single" w:sz="4" w:space="0" w:color="auto"/>
              <w:right w:val="nil"/>
            </w:tcBorders>
            <w:noWrap/>
            <w:vAlign w:val="bottom"/>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53</w:t>
            </w:r>
          </w:p>
        </w:tc>
        <w:tc>
          <w:tcPr>
            <w:tcW w:w="422"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2.66</w:t>
            </w:r>
          </w:p>
        </w:tc>
        <w:tc>
          <w:tcPr>
            <w:tcW w:w="373" w:type="pct"/>
            <w:gridSpan w:val="2"/>
            <w:tcBorders>
              <w:top w:val="single" w:sz="4" w:space="0" w:color="auto"/>
              <w:left w:val="nil"/>
              <w:bottom w:val="single" w:sz="4" w:space="0" w:color="auto"/>
              <w:right w:val="nil"/>
            </w:tcBorders>
            <w:noWrap/>
            <w:vAlign w:val="center"/>
          </w:tcPr>
          <w:p w:rsidR="00CF1981" w:rsidRDefault="00CF1981" w:rsidP="00BB71D6">
            <w:pPr>
              <w:wordWrap/>
              <w:spacing w:after="0" w:line="240" w:lineRule="auto"/>
              <w:rPr>
                <w:rFonts w:asciiTheme="majorBidi" w:eastAsia="Times New Roman" w:hAnsiTheme="majorBidi" w:cstheme="majorBidi"/>
                <w:sz w:val="18"/>
                <w:szCs w:val="18"/>
              </w:rPr>
            </w:pPr>
            <w:r>
              <w:rPr>
                <w:rFonts w:asciiTheme="majorBidi" w:eastAsia="Times New Roman" w:hAnsiTheme="majorBidi" w:cstheme="majorBidi"/>
                <w:sz w:val="18"/>
                <w:szCs w:val="18"/>
              </w:rPr>
              <w:t>1.31</w:t>
            </w:r>
          </w:p>
        </w:tc>
        <w:tc>
          <w:tcPr>
            <w:tcW w:w="162" w:type="pct"/>
            <w:vAlign w:val="center"/>
          </w:tcPr>
          <w:p w:rsidR="00CF1981" w:rsidRDefault="00CF1981" w:rsidP="00BB71D6">
            <w:pPr>
              <w:wordWrap/>
              <w:spacing w:after="0" w:line="240" w:lineRule="auto"/>
              <w:rPr>
                <w:rFonts w:asciiTheme="majorBidi" w:eastAsia="Calibri" w:hAnsiTheme="majorBidi" w:cstheme="majorBidi"/>
                <w:sz w:val="18"/>
                <w:szCs w:val="18"/>
              </w:rPr>
            </w:pPr>
          </w:p>
        </w:tc>
      </w:tr>
    </w:tbl>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Cs/>
          <w:i/>
          <w:iCs/>
          <w:kern w:val="0"/>
          <w:sz w:val="18"/>
          <w:szCs w:val="18"/>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Five Top Delaying Factors</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The top five delaying factors are presented in Table 8 from all six groups, which include: dishonesty in projects, hiring of irrelevant PD, technical position allocated for incompetent staff, the complex administrating system of file, PC-1 goals not matching with the actual project, delay of running IPCs payments by the department, bureaucratic impediments, unskilled consultants win the project by below rates. The results presented in Table 8 depict that four factors were related to the group of HEI, two were related to the group of HEC, and three were related to the groups of External (EX) and Consultant (CON).</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widowControl/>
        <w:wordWrap/>
        <w:autoSpaceDE/>
        <w:autoSpaceDN/>
        <w:spacing w:after="0" w:line="240" w:lineRule="auto"/>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RII and Ranking of Overall Groups</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The overall ranking of the groups with higher RII has computed the critical indices of the delaying factors and ranked them among the top five delaying factors, are shown in Table 7.</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
          <w:bCs/>
          <w:i/>
          <w:iCs/>
          <w:sz w:val="18"/>
          <w:szCs w:val="18"/>
          <w:shd w:val="clear" w:color="auto" w:fill="FFFFFF"/>
        </w:rPr>
      </w:pPr>
      <w:r>
        <w:rPr>
          <w:rFonts w:asciiTheme="majorBidi" w:eastAsia="HYSinMyeongJo-Medium" w:hAnsiTheme="majorBidi" w:cstheme="majorBidi"/>
          <w:b/>
          <w:bCs/>
          <w:i/>
          <w:iCs/>
          <w:sz w:val="18"/>
          <w:szCs w:val="18"/>
          <w:shd w:val="clear" w:color="auto" w:fill="FFFFFF"/>
        </w:rPr>
        <w:t>Table 7</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i/>
          <w:iCs/>
          <w:sz w:val="18"/>
          <w:szCs w:val="18"/>
          <w:shd w:val="clear" w:color="auto" w:fill="FFFFFF"/>
        </w:rPr>
      </w:pPr>
      <w:r>
        <w:rPr>
          <w:rFonts w:asciiTheme="majorBidi" w:eastAsia="HYSinMyeongJo-Medium" w:hAnsiTheme="majorBidi" w:cstheme="majorBidi"/>
          <w:i/>
          <w:iCs/>
          <w:sz w:val="18"/>
          <w:szCs w:val="18"/>
          <w:shd w:val="clear" w:color="auto" w:fill="FFFFFF"/>
        </w:rPr>
        <w:t>Relative Importance Index and Ranking Top Five Delaying Factors</w:t>
      </w:r>
    </w:p>
    <w:tbl>
      <w:tblPr>
        <w:tblW w:w="5000" w:type="pct"/>
        <w:tblBorders>
          <w:top w:val="single" w:sz="4" w:space="0" w:color="000000"/>
          <w:bottom w:val="single" w:sz="4" w:space="0" w:color="000000"/>
          <w:insideH w:val="single" w:sz="4" w:space="0" w:color="000000"/>
        </w:tblBorders>
        <w:tblCellMar>
          <w:left w:w="0" w:type="dxa"/>
          <w:right w:w="0" w:type="dxa"/>
        </w:tblCellMar>
        <w:tblLook w:val="04A0" w:firstRow="1" w:lastRow="0" w:firstColumn="1" w:lastColumn="0" w:noHBand="0" w:noVBand="1"/>
      </w:tblPr>
      <w:tblGrid>
        <w:gridCol w:w="3936"/>
        <w:gridCol w:w="1106"/>
        <w:gridCol w:w="1105"/>
      </w:tblGrid>
      <w:tr w:rsidR="00CF1981" w:rsidTr="00BB71D6">
        <w:trPr>
          <w:trHeight w:val="402"/>
        </w:trPr>
        <w:tc>
          <w:tcPr>
            <w:tcW w:w="3201" w:type="pct"/>
            <w:tcBorders>
              <w:top w:val="single" w:sz="4" w:space="0" w:color="000000"/>
              <w:left w:val="nil"/>
              <w:bottom w:val="single" w:sz="4" w:space="0" w:color="000000"/>
              <w:right w:val="nil"/>
            </w:tcBorders>
          </w:tcPr>
          <w:p w:rsidR="00CF1981" w:rsidRDefault="00CF1981" w:rsidP="00BB71D6">
            <w:pPr>
              <w:pStyle w:val="TableParagraph"/>
              <w:spacing w:line="240" w:lineRule="auto"/>
              <w:ind w:left="94" w:right="94"/>
              <w:jc w:val="both"/>
              <w:rPr>
                <w:rFonts w:asciiTheme="majorBidi" w:hAnsiTheme="majorBidi" w:cstheme="majorBidi"/>
                <w:b/>
                <w:bCs/>
                <w:sz w:val="18"/>
                <w:szCs w:val="18"/>
              </w:rPr>
            </w:pPr>
            <w:r>
              <w:rPr>
                <w:rFonts w:asciiTheme="majorBidi" w:hAnsiTheme="majorBidi" w:cstheme="majorBidi"/>
                <w:b/>
                <w:bCs/>
                <w:sz w:val="18"/>
                <w:szCs w:val="18"/>
              </w:rPr>
              <w:t>Factor</w:t>
            </w:r>
          </w:p>
        </w:tc>
        <w:tc>
          <w:tcPr>
            <w:tcW w:w="900" w:type="pct"/>
            <w:tcBorders>
              <w:top w:val="single" w:sz="4" w:space="0" w:color="000000"/>
              <w:left w:val="nil"/>
              <w:bottom w:val="single" w:sz="4" w:space="0" w:color="000000"/>
              <w:right w:val="nil"/>
            </w:tcBorders>
          </w:tcPr>
          <w:p w:rsidR="00CF1981" w:rsidRDefault="00CF1981" w:rsidP="00BB71D6">
            <w:pPr>
              <w:pStyle w:val="TableParagraph"/>
              <w:spacing w:line="240" w:lineRule="auto"/>
              <w:ind w:left="98" w:right="98"/>
              <w:jc w:val="both"/>
              <w:rPr>
                <w:rFonts w:asciiTheme="majorBidi" w:hAnsiTheme="majorBidi" w:cstheme="majorBidi"/>
                <w:b/>
                <w:bCs/>
                <w:sz w:val="18"/>
                <w:szCs w:val="18"/>
              </w:rPr>
            </w:pPr>
            <w:r>
              <w:rPr>
                <w:rFonts w:asciiTheme="majorBidi" w:hAnsiTheme="majorBidi" w:cstheme="majorBidi"/>
                <w:b/>
                <w:bCs/>
                <w:sz w:val="18"/>
                <w:szCs w:val="18"/>
              </w:rPr>
              <w:t>RII</w:t>
            </w:r>
          </w:p>
        </w:tc>
        <w:tc>
          <w:tcPr>
            <w:tcW w:w="900" w:type="pct"/>
            <w:tcBorders>
              <w:top w:val="single" w:sz="4" w:space="0" w:color="000000"/>
              <w:left w:val="nil"/>
              <w:bottom w:val="single" w:sz="4" w:space="0" w:color="000000"/>
              <w:right w:val="nil"/>
            </w:tcBorders>
          </w:tcPr>
          <w:p w:rsidR="00CF1981" w:rsidRDefault="00CF1981" w:rsidP="00BB71D6">
            <w:pPr>
              <w:pStyle w:val="TableParagraph"/>
              <w:spacing w:line="240" w:lineRule="auto"/>
              <w:ind w:left="98" w:right="98"/>
              <w:jc w:val="both"/>
              <w:rPr>
                <w:rFonts w:asciiTheme="majorBidi" w:hAnsiTheme="majorBidi" w:cstheme="majorBidi"/>
                <w:b/>
                <w:bCs/>
                <w:sz w:val="18"/>
                <w:szCs w:val="18"/>
              </w:rPr>
            </w:pPr>
            <w:r>
              <w:rPr>
                <w:rFonts w:asciiTheme="majorBidi" w:hAnsiTheme="majorBidi" w:cstheme="majorBidi"/>
                <w:b/>
                <w:bCs/>
                <w:sz w:val="18"/>
                <w:szCs w:val="18"/>
              </w:rPr>
              <w:t>Ranks</w:t>
            </w:r>
          </w:p>
        </w:tc>
      </w:tr>
      <w:tr w:rsidR="00CF1981" w:rsidTr="00BB71D6">
        <w:trPr>
          <w:trHeight w:val="402"/>
        </w:trPr>
        <w:tc>
          <w:tcPr>
            <w:tcW w:w="3201" w:type="pct"/>
            <w:tcBorders>
              <w:top w:val="single" w:sz="4" w:space="0" w:color="000000"/>
              <w:left w:val="nil"/>
              <w:bottom w:val="nil"/>
              <w:right w:val="nil"/>
            </w:tcBorders>
          </w:tcPr>
          <w:p w:rsidR="00CF1981" w:rsidRDefault="00CF1981" w:rsidP="00BB71D6">
            <w:pPr>
              <w:pStyle w:val="TableParagraph"/>
              <w:spacing w:line="240" w:lineRule="auto"/>
              <w:ind w:left="94" w:right="94"/>
              <w:jc w:val="both"/>
              <w:rPr>
                <w:rFonts w:asciiTheme="majorBidi" w:hAnsiTheme="majorBidi" w:cstheme="majorBidi"/>
                <w:sz w:val="18"/>
                <w:szCs w:val="18"/>
              </w:rPr>
            </w:pPr>
            <w:r>
              <w:rPr>
                <w:rFonts w:asciiTheme="majorBidi" w:hAnsiTheme="majorBidi" w:cstheme="majorBidi"/>
                <w:sz w:val="18"/>
                <w:szCs w:val="18"/>
              </w:rPr>
              <w:t>Dishonesty in projects</w:t>
            </w:r>
          </w:p>
        </w:tc>
        <w:tc>
          <w:tcPr>
            <w:tcW w:w="900" w:type="pct"/>
            <w:tcBorders>
              <w:top w:val="single" w:sz="4" w:space="0" w:color="000000"/>
              <w:left w:val="nil"/>
              <w:bottom w:val="nil"/>
              <w:right w:val="nil"/>
            </w:tcBorders>
          </w:tcPr>
          <w:p w:rsidR="00CF1981" w:rsidRDefault="00CF1981" w:rsidP="00BB71D6">
            <w:pPr>
              <w:pStyle w:val="TableParagraph"/>
              <w:spacing w:line="240" w:lineRule="auto"/>
              <w:ind w:left="97" w:right="98"/>
              <w:jc w:val="both"/>
              <w:rPr>
                <w:rFonts w:asciiTheme="majorBidi" w:hAnsiTheme="majorBidi" w:cstheme="majorBidi"/>
                <w:sz w:val="18"/>
                <w:szCs w:val="18"/>
              </w:rPr>
            </w:pPr>
            <w:r>
              <w:rPr>
                <w:rFonts w:asciiTheme="majorBidi" w:hAnsiTheme="majorBidi" w:cstheme="majorBidi"/>
                <w:sz w:val="18"/>
                <w:szCs w:val="18"/>
              </w:rPr>
              <w:t>0.9346</w:t>
            </w:r>
          </w:p>
        </w:tc>
        <w:tc>
          <w:tcPr>
            <w:tcW w:w="900" w:type="pct"/>
            <w:tcBorders>
              <w:top w:val="single" w:sz="4" w:space="0" w:color="000000"/>
              <w:left w:val="nil"/>
              <w:bottom w:val="nil"/>
              <w:right w:val="nil"/>
            </w:tcBorders>
          </w:tcPr>
          <w:p w:rsidR="00CF1981" w:rsidRDefault="00CF1981" w:rsidP="00BB71D6">
            <w:pPr>
              <w:pStyle w:val="TableParagraph"/>
              <w:spacing w:line="240" w:lineRule="auto"/>
              <w:ind w:left="0" w:right="0"/>
              <w:rPr>
                <w:rFonts w:asciiTheme="majorBidi" w:hAnsiTheme="majorBidi" w:cstheme="majorBidi"/>
                <w:sz w:val="18"/>
                <w:szCs w:val="18"/>
              </w:rPr>
            </w:pPr>
            <w:r>
              <w:rPr>
                <w:rFonts w:asciiTheme="majorBidi" w:hAnsiTheme="majorBidi" w:cstheme="majorBidi"/>
                <w:w w:val="99"/>
                <w:sz w:val="18"/>
                <w:szCs w:val="18"/>
              </w:rPr>
              <w:t>1</w:t>
            </w:r>
          </w:p>
        </w:tc>
      </w:tr>
      <w:tr w:rsidR="00CF1981" w:rsidTr="00BB71D6">
        <w:trPr>
          <w:trHeight w:val="402"/>
        </w:trPr>
        <w:tc>
          <w:tcPr>
            <w:tcW w:w="3201" w:type="pct"/>
            <w:tcBorders>
              <w:top w:val="nil"/>
              <w:left w:val="nil"/>
              <w:bottom w:val="nil"/>
              <w:right w:val="nil"/>
            </w:tcBorders>
          </w:tcPr>
          <w:p w:rsidR="00CF1981" w:rsidRDefault="00CF1981" w:rsidP="00BB71D6">
            <w:pPr>
              <w:pStyle w:val="TableParagraph"/>
              <w:spacing w:line="240" w:lineRule="auto"/>
              <w:ind w:left="94" w:right="94"/>
              <w:jc w:val="both"/>
              <w:rPr>
                <w:rFonts w:asciiTheme="majorBidi" w:hAnsiTheme="majorBidi" w:cstheme="majorBidi"/>
                <w:sz w:val="18"/>
                <w:szCs w:val="18"/>
              </w:rPr>
            </w:pPr>
            <w:r>
              <w:rPr>
                <w:rFonts w:asciiTheme="majorBidi" w:hAnsiTheme="majorBidi" w:cstheme="majorBidi"/>
                <w:sz w:val="18"/>
                <w:szCs w:val="18"/>
              </w:rPr>
              <w:lastRenderedPageBreak/>
              <w:t>The hiring of an irrelevant PD</w:t>
            </w:r>
          </w:p>
        </w:tc>
        <w:tc>
          <w:tcPr>
            <w:tcW w:w="900" w:type="pct"/>
            <w:tcBorders>
              <w:top w:val="nil"/>
              <w:left w:val="nil"/>
              <w:bottom w:val="nil"/>
              <w:right w:val="nil"/>
            </w:tcBorders>
          </w:tcPr>
          <w:p w:rsidR="00CF1981" w:rsidRDefault="00CF1981" w:rsidP="00BB71D6">
            <w:pPr>
              <w:pStyle w:val="TableParagraph"/>
              <w:spacing w:line="240" w:lineRule="auto"/>
              <w:ind w:left="98" w:right="97"/>
              <w:jc w:val="both"/>
              <w:rPr>
                <w:rFonts w:asciiTheme="majorBidi" w:hAnsiTheme="majorBidi" w:cstheme="majorBidi"/>
                <w:sz w:val="18"/>
                <w:szCs w:val="18"/>
              </w:rPr>
            </w:pPr>
            <w:r>
              <w:rPr>
                <w:rFonts w:asciiTheme="majorBidi" w:hAnsiTheme="majorBidi" w:cstheme="majorBidi"/>
                <w:sz w:val="18"/>
                <w:szCs w:val="18"/>
              </w:rPr>
              <w:t>0.9307</w:t>
            </w:r>
          </w:p>
        </w:tc>
        <w:tc>
          <w:tcPr>
            <w:tcW w:w="900" w:type="pct"/>
            <w:tcBorders>
              <w:top w:val="nil"/>
              <w:left w:val="nil"/>
              <w:bottom w:val="nil"/>
              <w:right w:val="nil"/>
            </w:tcBorders>
          </w:tcPr>
          <w:p w:rsidR="00CF1981" w:rsidRDefault="00CF1981" w:rsidP="00BB71D6">
            <w:pPr>
              <w:pStyle w:val="TableParagraph"/>
              <w:spacing w:line="240" w:lineRule="auto"/>
              <w:ind w:left="0" w:right="0"/>
              <w:rPr>
                <w:rFonts w:asciiTheme="majorBidi" w:hAnsiTheme="majorBidi" w:cstheme="majorBidi"/>
                <w:sz w:val="18"/>
                <w:szCs w:val="18"/>
              </w:rPr>
            </w:pPr>
            <w:r>
              <w:rPr>
                <w:rFonts w:asciiTheme="majorBidi" w:hAnsiTheme="majorBidi" w:cstheme="majorBidi"/>
                <w:w w:val="99"/>
                <w:sz w:val="18"/>
                <w:szCs w:val="18"/>
              </w:rPr>
              <w:t>2</w:t>
            </w:r>
          </w:p>
        </w:tc>
      </w:tr>
      <w:tr w:rsidR="00CF1981" w:rsidTr="00BB71D6">
        <w:trPr>
          <w:trHeight w:val="402"/>
        </w:trPr>
        <w:tc>
          <w:tcPr>
            <w:tcW w:w="3201" w:type="pct"/>
            <w:tcBorders>
              <w:top w:val="nil"/>
              <w:left w:val="nil"/>
              <w:bottom w:val="nil"/>
              <w:right w:val="nil"/>
            </w:tcBorders>
          </w:tcPr>
          <w:p w:rsidR="00CF1981" w:rsidRDefault="00CF1981" w:rsidP="00BB71D6">
            <w:pPr>
              <w:pStyle w:val="TableParagraph"/>
              <w:spacing w:line="240" w:lineRule="auto"/>
              <w:ind w:left="94" w:right="94"/>
              <w:jc w:val="both"/>
              <w:rPr>
                <w:rFonts w:asciiTheme="majorBidi" w:hAnsiTheme="majorBidi" w:cstheme="majorBidi"/>
                <w:sz w:val="18"/>
                <w:szCs w:val="18"/>
              </w:rPr>
            </w:pPr>
            <w:r>
              <w:rPr>
                <w:rFonts w:asciiTheme="majorBidi" w:hAnsiTheme="majorBidi" w:cstheme="majorBidi"/>
                <w:sz w:val="18"/>
                <w:szCs w:val="18"/>
              </w:rPr>
              <w:t>Technical position allocated for incompetent staff</w:t>
            </w:r>
          </w:p>
        </w:tc>
        <w:tc>
          <w:tcPr>
            <w:tcW w:w="900" w:type="pct"/>
            <w:tcBorders>
              <w:top w:val="nil"/>
              <w:left w:val="nil"/>
              <w:bottom w:val="nil"/>
              <w:right w:val="nil"/>
            </w:tcBorders>
          </w:tcPr>
          <w:p w:rsidR="00CF1981" w:rsidRDefault="00CF1981" w:rsidP="00BB71D6">
            <w:pPr>
              <w:pStyle w:val="TableParagraph"/>
              <w:spacing w:line="240" w:lineRule="auto"/>
              <w:ind w:left="97" w:right="98"/>
              <w:jc w:val="both"/>
              <w:rPr>
                <w:rFonts w:asciiTheme="majorBidi" w:hAnsiTheme="majorBidi" w:cstheme="majorBidi"/>
                <w:sz w:val="18"/>
                <w:szCs w:val="18"/>
              </w:rPr>
            </w:pPr>
            <w:r>
              <w:rPr>
                <w:rFonts w:asciiTheme="majorBidi" w:hAnsiTheme="majorBidi" w:cstheme="majorBidi"/>
                <w:sz w:val="18"/>
                <w:szCs w:val="18"/>
              </w:rPr>
              <w:t>0.9300</w:t>
            </w:r>
          </w:p>
        </w:tc>
        <w:tc>
          <w:tcPr>
            <w:tcW w:w="900" w:type="pct"/>
            <w:tcBorders>
              <w:top w:val="nil"/>
              <w:left w:val="nil"/>
              <w:bottom w:val="nil"/>
              <w:right w:val="nil"/>
            </w:tcBorders>
          </w:tcPr>
          <w:p w:rsidR="00CF1981" w:rsidRDefault="00CF1981" w:rsidP="00BB71D6">
            <w:pPr>
              <w:pStyle w:val="TableParagraph"/>
              <w:spacing w:line="240" w:lineRule="auto"/>
              <w:ind w:left="0" w:right="0"/>
              <w:rPr>
                <w:rFonts w:asciiTheme="majorBidi" w:hAnsiTheme="majorBidi" w:cstheme="majorBidi"/>
                <w:sz w:val="18"/>
                <w:szCs w:val="18"/>
              </w:rPr>
            </w:pPr>
            <w:r>
              <w:rPr>
                <w:rFonts w:asciiTheme="majorBidi" w:hAnsiTheme="majorBidi" w:cstheme="majorBidi"/>
                <w:w w:val="99"/>
                <w:sz w:val="18"/>
                <w:szCs w:val="18"/>
              </w:rPr>
              <w:t>3</w:t>
            </w:r>
          </w:p>
        </w:tc>
      </w:tr>
      <w:tr w:rsidR="00CF1981" w:rsidTr="00BB71D6">
        <w:trPr>
          <w:trHeight w:val="402"/>
        </w:trPr>
        <w:tc>
          <w:tcPr>
            <w:tcW w:w="3201" w:type="pct"/>
            <w:tcBorders>
              <w:top w:val="nil"/>
              <w:left w:val="nil"/>
              <w:bottom w:val="nil"/>
              <w:right w:val="nil"/>
            </w:tcBorders>
          </w:tcPr>
          <w:p w:rsidR="00CF1981" w:rsidRDefault="00CF1981" w:rsidP="00BB71D6">
            <w:pPr>
              <w:pStyle w:val="TableParagraph"/>
              <w:spacing w:line="240" w:lineRule="auto"/>
              <w:ind w:left="94" w:right="94"/>
              <w:jc w:val="both"/>
              <w:rPr>
                <w:rFonts w:asciiTheme="majorBidi" w:hAnsiTheme="majorBidi" w:cstheme="majorBidi"/>
                <w:sz w:val="18"/>
                <w:szCs w:val="18"/>
              </w:rPr>
            </w:pPr>
            <w:r>
              <w:rPr>
                <w:rFonts w:asciiTheme="majorBidi" w:hAnsiTheme="majorBidi" w:cstheme="majorBidi"/>
                <w:sz w:val="18"/>
                <w:szCs w:val="18"/>
              </w:rPr>
              <w:t>Complex administrating system of file</w:t>
            </w:r>
          </w:p>
        </w:tc>
        <w:tc>
          <w:tcPr>
            <w:tcW w:w="900" w:type="pct"/>
            <w:tcBorders>
              <w:top w:val="nil"/>
              <w:left w:val="nil"/>
              <w:bottom w:val="nil"/>
              <w:right w:val="nil"/>
            </w:tcBorders>
          </w:tcPr>
          <w:p w:rsidR="00CF1981" w:rsidRDefault="00CF1981" w:rsidP="00BB71D6">
            <w:pPr>
              <w:pStyle w:val="TableParagraph"/>
              <w:spacing w:line="240" w:lineRule="auto"/>
              <w:ind w:left="97" w:right="98"/>
              <w:jc w:val="both"/>
              <w:rPr>
                <w:rFonts w:asciiTheme="majorBidi" w:hAnsiTheme="majorBidi" w:cstheme="majorBidi"/>
                <w:sz w:val="18"/>
                <w:szCs w:val="18"/>
              </w:rPr>
            </w:pPr>
            <w:r>
              <w:rPr>
                <w:rFonts w:asciiTheme="majorBidi" w:hAnsiTheme="majorBidi" w:cstheme="majorBidi"/>
                <w:sz w:val="18"/>
                <w:szCs w:val="18"/>
              </w:rPr>
              <w:t>0.9150</w:t>
            </w:r>
          </w:p>
        </w:tc>
        <w:tc>
          <w:tcPr>
            <w:tcW w:w="900" w:type="pct"/>
            <w:tcBorders>
              <w:top w:val="nil"/>
              <w:left w:val="nil"/>
              <w:bottom w:val="nil"/>
              <w:right w:val="nil"/>
            </w:tcBorders>
          </w:tcPr>
          <w:p w:rsidR="00CF1981" w:rsidRDefault="00CF1981" w:rsidP="00BB71D6">
            <w:pPr>
              <w:pStyle w:val="TableParagraph"/>
              <w:spacing w:line="240" w:lineRule="auto"/>
              <w:ind w:left="0" w:right="3"/>
              <w:rPr>
                <w:rFonts w:asciiTheme="majorBidi" w:hAnsiTheme="majorBidi" w:cstheme="majorBidi"/>
                <w:sz w:val="18"/>
                <w:szCs w:val="18"/>
              </w:rPr>
            </w:pPr>
            <w:r>
              <w:rPr>
                <w:rFonts w:asciiTheme="majorBidi" w:hAnsiTheme="majorBidi" w:cstheme="majorBidi"/>
                <w:w w:val="99"/>
                <w:sz w:val="18"/>
                <w:szCs w:val="18"/>
              </w:rPr>
              <w:t>4</w:t>
            </w:r>
          </w:p>
        </w:tc>
      </w:tr>
      <w:tr w:rsidR="00CF1981" w:rsidTr="00BB71D6">
        <w:trPr>
          <w:trHeight w:val="402"/>
        </w:trPr>
        <w:tc>
          <w:tcPr>
            <w:tcW w:w="3201" w:type="pct"/>
            <w:tcBorders>
              <w:top w:val="nil"/>
              <w:left w:val="nil"/>
              <w:bottom w:val="single" w:sz="4" w:space="0" w:color="000000"/>
              <w:right w:val="nil"/>
            </w:tcBorders>
          </w:tcPr>
          <w:p w:rsidR="00CF1981" w:rsidRDefault="00CF1981" w:rsidP="00BB71D6">
            <w:pPr>
              <w:pStyle w:val="TableParagraph"/>
              <w:spacing w:line="240" w:lineRule="auto"/>
              <w:ind w:left="94" w:right="94"/>
              <w:jc w:val="both"/>
              <w:rPr>
                <w:rFonts w:asciiTheme="majorBidi" w:hAnsiTheme="majorBidi" w:cstheme="majorBidi"/>
                <w:sz w:val="18"/>
                <w:szCs w:val="18"/>
              </w:rPr>
            </w:pPr>
            <w:r>
              <w:rPr>
                <w:rFonts w:asciiTheme="majorBidi" w:hAnsiTheme="majorBidi" w:cstheme="majorBidi"/>
                <w:sz w:val="18"/>
                <w:szCs w:val="18"/>
              </w:rPr>
              <w:t>PC-1 goals do not match the real projects</w:t>
            </w:r>
          </w:p>
        </w:tc>
        <w:tc>
          <w:tcPr>
            <w:tcW w:w="900" w:type="pct"/>
            <w:tcBorders>
              <w:top w:val="nil"/>
              <w:left w:val="nil"/>
              <w:bottom w:val="single" w:sz="4" w:space="0" w:color="000000"/>
              <w:right w:val="nil"/>
            </w:tcBorders>
          </w:tcPr>
          <w:p w:rsidR="00CF1981" w:rsidRDefault="00CF1981" w:rsidP="00BB71D6">
            <w:pPr>
              <w:pStyle w:val="TableParagraph"/>
              <w:spacing w:line="240" w:lineRule="auto"/>
              <w:ind w:left="98" w:right="98"/>
              <w:jc w:val="both"/>
              <w:rPr>
                <w:rFonts w:asciiTheme="majorBidi" w:hAnsiTheme="majorBidi" w:cstheme="majorBidi"/>
                <w:sz w:val="18"/>
                <w:szCs w:val="18"/>
              </w:rPr>
            </w:pPr>
            <w:r>
              <w:rPr>
                <w:rFonts w:asciiTheme="majorBidi" w:hAnsiTheme="majorBidi" w:cstheme="majorBidi"/>
                <w:sz w:val="18"/>
                <w:szCs w:val="18"/>
              </w:rPr>
              <w:t>0.9124</w:t>
            </w:r>
          </w:p>
        </w:tc>
        <w:tc>
          <w:tcPr>
            <w:tcW w:w="900" w:type="pct"/>
            <w:tcBorders>
              <w:top w:val="nil"/>
              <w:left w:val="nil"/>
              <w:bottom w:val="single" w:sz="4" w:space="0" w:color="000000"/>
              <w:right w:val="nil"/>
            </w:tcBorders>
          </w:tcPr>
          <w:p w:rsidR="00CF1981" w:rsidRDefault="00CF1981" w:rsidP="00BB71D6">
            <w:pPr>
              <w:pStyle w:val="TableParagraph"/>
              <w:spacing w:line="240" w:lineRule="auto"/>
              <w:ind w:left="0" w:right="0"/>
              <w:rPr>
                <w:rFonts w:asciiTheme="majorBidi" w:hAnsiTheme="majorBidi" w:cstheme="majorBidi"/>
                <w:sz w:val="18"/>
                <w:szCs w:val="18"/>
              </w:rPr>
            </w:pPr>
            <w:r>
              <w:rPr>
                <w:rFonts w:asciiTheme="majorBidi" w:hAnsiTheme="majorBidi" w:cstheme="majorBidi"/>
                <w:w w:val="99"/>
                <w:sz w:val="18"/>
                <w:szCs w:val="18"/>
              </w:rPr>
              <w:t>5</w:t>
            </w:r>
          </w:p>
        </w:tc>
      </w:tr>
    </w:tbl>
    <w:p w:rsidR="00CF1981" w:rsidRDefault="00CF1981" w:rsidP="00CF1981">
      <w:pPr>
        <w:widowControl/>
        <w:wordWrap/>
        <w:autoSpaceDE/>
        <w:autoSpaceDN/>
        <w:spacing w:after="0" w:line="240" w:lineRule="auto"/>
        <w:rPr>
          <w:rFonts w:asciiTheme="majorBidi" w:eastAsia="HYSinMyeongJo-Medium" w:hAnsiTheme="majorBidi" w:cstheme="majorBidi"/>
          <w:b/>
          <w:kern w:val="0"/>
          <w:sz w:val="18"/>
          <w:szCs w:val="18"/>
          <w:shd w:val="clear" w:color="auto" w:fill="FFFFFF"/>
        </w:rPr>
      </w:pPr>
    </w:p>
    <w:p w:rsidR="00CF1981" w:rsidRDefault="00CF1981" w:rsidP="00CF1981">
      <w:pPr>
        <w:widowControl/>
        <w:wordWrap/>
        <w:autoSpaceDE/>
        <w:autoSpaceDN/>
        <w:spacing w:after="0" w:line="240" w:lineRule="auto"/>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Higher Education Commission (08 Attribute)</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Table 7 presents the group-wise and overall ranking of causing factors. The causing factor of PC-1 goals not matching with the actual project was high in rank. The respondent's assessments were adequately comparable and agreed that this attribute leads to the undertaking delay and primarily affects the construction project. It is worth noting that the factor was 1st in group rank, and overall rank is 5th in the HEC group. The second and third causing factors were delays in running IPCs (Interim Payment Certificates) payments by the department and delays in hiring consultants. The maximum Mean value of the factor is</w:t>
      </w:r>
      <m:oMath>
        <m:r>
          <m:rPr>
            <m:sty m:val="p"/>
          </m:rPr>
          <w:rPr>
            <w:rFonts w:ascii="Cambria Math" w:eastAsia="HYSinMyeongJo-Medium" w:hAnsi="Cambria Math" w:cstheme="majorBidi"/>
            <w:sz w:val="22"/>
            <w:shd w:val="clear" w:color="auto" w:fill="FFFFFF"/>
          </w:rPr>
          <m:t xml:space="preserve"> </m:t>
        </m:r>
        <m:acc>
          <m:accPr>
            <m:chr m:val="̅"/>
            <m:ctrlPr>
              <w:rPr>
                <w:rFonts w:ascii="Cambria Math" w:eastAsia="HYSinMyeongJo-Medium" w:hAnsi="Cambria Math" w:cstheme="majorBidi"/>
                <w:sz w:val="22"/>
                <w:shd w:val="clear" w:color="auto" w:fill="FFFFFF"/>
              </w:rPr>
            </m:ctrlPr>
          </m:accPr>
          <m:e>
            <m:r>
              <m:rPr>
                <m:sty m:val="p"/>
              </m:rPr>
              <w:rPr>
                <w:rFonts w:ascii="Cambria Math" w:eastAsia="HYSinMyeongJo-Medium" w:hAnsi="Cambria Math" w:cstheme="majorBidi"/>
                <w:sz w:val="22"/>
                <w:shd w:val="clear" w:color="auto" w:fill="FFFFFF"/>
              </w:rPr>
              <m:t>X</m:t>
            </m:r>
          </m:e>
        </m:acc>
      </m:oMath>
      <w:r>
        <w:rPr>
          <w:rFonts w:asciiTheme="majorBidi" w:eastAsia="HYSinMyeongJo-Medium" w:hAnsiTheme="majorBidi" w:cstheme="majorBidi"/>
          <w:sz w:val="22"/>
          <w:shd w:val="clear" w:color="auto" w:fill="FFFFFF"/>
        </w:rPr>
        <w:t xml:space="preserve"> = 4.56.</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widowControl/>
        <w:wordWrap/>
        <w:autoSpaceDE/>
        <w:autoSpaceDN/>
        <w:spacing w:after="0" w:line="240" w:lineRule="auto"/>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Higher Education Institution (19 Attribute)</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The Higher Education Institution (HEI) group is the second and most significant group of the causes of delaying factors. The respondents agreed, and their views were similar in the Higher Education Institution delaying factors group. The utmost significant delaying factor was Corruption tendencies, the hiring of non-technical staff for a technical position, and the selection of an incompetent Project Director is the top three delaying factor. The maximum Mean value of the factor is X = 4.65.</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widowControl/>
        <w:wordWrap/>
        <w:autoSpaceDE/>
        <w:autoSpaceDN/>
        <w:spacing w:after="0" w:line="240" w:lineRule="auto"/>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Consultant (11 Attribute)</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In Table 7, the consultant-related delaying factors, the group is ranked the third most significant. The results show that the unskilled consultants win the project by below rates, Errors and disagreements in contract documents, and Inadequate and wrong contract bidding documents are the top three delaying factors. The Mean value of the group is X = 4.07.</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widowControl/>
        <w:wordWrap/>
        <w:autoSpaceDE/>
        <w:autoSpaceDN/>
        <w:spacing w:after="0" w:line="240" w:lineRule="auto"/>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Contractor (16 Attribute)</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Table 8 shows that the top causing factors are deployment delay of the contractor, unavailability of advanced construction equipment, and incompetent contractors winning the bid, the top delaying factor in the group. The Mean value of the group is X = 3.74.</w:t>
      </w:r>
    </w:p>
    <w:p w:rsidR="00CF1981" w:rsidRDefault="00CF1981" w:rsidP="00CF1981">
      <w:pPr>
        <w:pStyle w:val="BodyText"/>
        <w:jc w:val="both"/>
        <w:rPr>
          <w:rFonts w:asciiTheme="majorBidi" w:hAnsiTheme="majorBidi" w:cstheme="majorBidi"/>
          <w:sz w:val="22"/>
          <w:szCs w:val="22"/>
        </w:rPr>
      </w:pPr>
    </w:p>
    <w:p w:rsidR="00CF1981" w:rsidRDefault="00CF1981" w:rsidP="00CF1981">
      <w:pPr>
        <w:widowControl/>
        <w:wordWrap/>
        <w:autoSpaceDE/>
        <w:autoSpaceDN/>
        <w:spacing w:after="0" w:line="240" w:lineRule="auto"/>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Material (06 Attribute)</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Table 7 material related shows that this group credits lead to </w:t>
      </w:r>
      <w:r>
        <w:rPr>
          <w:rFonts w:asciiTheme="majorBidi" w:eastAsia="HYSinMyeongJo-Medium" w:hAnsiTheme="majorBidi" w:cstheme="majorBidi"/>
          <w:sz w:val="22"/>
          <w:shd w:val="clear" w:color="auto" w:fill="FFFFFF"/>
        </w:rPr>
        <w:lastRenderedPageBreak/>
        <w:t>extension and consequences for the development progress. The top three delaying factors were Scarcity of already approved materials, department requirements for superior construction materials, and near the project sites, the local materials not approved material were the top delaying factors. The maximum Mean value of the group is X = 3.86.</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widowControl/>
        <w:wordWrap/>
        <w:autoSpaceDE/>
        <w:autoSpaceDN/>
        <w:spacing w:after="0" w:line="240" w:lineRule="auto"/>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External (07 Attribute)</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Table 7 shows that the respondents agreed these qualities lead to project delays and impact construction progress. The top three delaying factors were Political obstructions, Undependable material dealers, and local Community interventions in the project sites. The Mean value of the top factor is X = 4.20.</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widowControl/>
        <w:wordWrap/>
        <w:autoSpaceDE/>
        <w:autoSpaceDN/>
        <w:spacing w:after="0" w:line="240" w:lineRule="auto"/>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Correlation Matrix</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The correlation results, as described in Table 8, show that the relationship between the selected factors is interdependent. The HEC closely connects with MA and HEI, CON, COT, and EX. Moreover, this connection is fascinating positively as these factors are directly related. Similarly, the connection of HEI with CON, COT, and MA is noted as positive, while with EX.</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hAnsiTheme="majorBidi" w:cstheme="majorBidi"/>
          <w:sz w:val="22"/>
        </w:rPr>
      </w:pPr>
    </w:p>
    <w:p w:rsidR="00CF1981" w:rsidRDefault="00CF1981" w:rsidP="00CF1981">
      <w:pPr>
        <w:pStyle w:val="TableofFigures"/>
        <w:tabs>
          <w:tab w:val="right" w:leader="dot" w:pos="9016"/>
        </w:tabs>
        <w:wordWrap/>
        <w:spacing w:line="240" w:lineRule="auto"/>
        <w:rPr>
          <w:rFonts w:asciiTheme="majorBidi" w:hAnsiTheme="majorBidi" w:cstheme="majorBidi"/>
          <w:i/>
          <w:iCs/>
          <w:sz w:val="18"/>
          <w:szCs w:val="18"/>
        </w:rPr>
      </w:pPr>
      <w:r>
        <w:rPr>
          <w:rFonts w:asciiTheme="majorBidi" w:hAnsiTheme="majorBidi" w:cstheme="majorBidi"/>
          <w:b/>
          <w:bCs/>
          <w:i/>
          <w:iCs/>
          <w:sz w:val="18"/>
          <w:szCs w:val="18"/>
        </w:rPr>
        <w:t>Table 8</w:t>
      </w:r>
    </w:p>
    <w:p w:rsidR="00CF1981" w:rsidRDefault="00CF1981" w:rsidP="00CF1981">
      <w:pPr>
        <w:pStyle w:val="TableofFigures"/>
        <w:tabs>
          <w:tab w:val="right" w:leader="dot" w:pos="9016"/>
        </w:tabs>
        <w:wordWrap/>
        <w:spacing w:line="240" w:lineRule="auto"/>
        <w:rPr>
          <w:rFonts w:asciiTheme="majorBidi" w:hAnsiTheme="majorBidi" w:cstheme="majorBidi"/>
          <w:i/>
          <w:iCs/>
          <w:sz w:val="18"/>
          <w:szCs w:val="18"/>
        </w:rPr>
      </w:pPr>
      <w:r>
        <w:rPr>
          <w:rFonts w:asciiTheme="majorBidi" w:hAnsiTheme="majorBidi" w:cstheme="majorBidi"/>
          <w:i/>
          <w:iCs/>
          <w:sz w:val="18"/>
          <w:szCs w:val="18"/>
        </w:rPr>
        <w:t>Correlation Matrix of Causing Factor</w:t>
      </w:r>
    </w:p>
    <w:tbl>
      <w:tblPr>
        <w:tblW w:w="5000" w:type="pct"/>
        <w:tblBorders>
          <w:top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1"/>
        <w:gridCol w:w="512"/>
        <w:gridCol w:w="454"/>
        <w:gridCol w:w="858"/>
        <w:gridCol w:w="849"/>
        <w:gridCol w:w="1027"/>
        <w:gridCol w:w="789"/>
        <w:gridCol w:w="817"/>
      </w:tblGrid>
      <w:tr w:rsidR="00CF1981" w:rsidTr="00BB71D6">
        <w:trPr>
          <w:cantSplit/>
          <w:trHeight w:val="187"/>
        </w:trPr>
        <w:tc>
          <w:tcPr>
            <w:tcW w:w="5000" w:type="pct"/>
            <w:gridSpan w:val="8"/>
            <w:tcBorders>
              <w:top w:val="single" w:sz="4" w:space="0" w:color="auto"/>
              <w:left w:val="nil"/>
              <w:bottom w:val="single" w:sz="4" w:space="0" w:color="auto"/>
              <w:right w:val="nil"/>
            </w:tcBorders>
            <w:shd w:val="clear" w:color="auto" w:fill="FFFFFF"/>
          </w:tcPr>
          <w:p w:rsidR="00CF1981" w:rsidRDefault="00CF1981" w:rsidP="00BB71D6">
            <w:pPr>
              <w:wordWrap/>
              <w:adjustRightInd w:val="0"/>
              <w:spacing w:after="0" w:line="240" w:lineRule="auto"/>
              <w:ind w:right="60"/>
              <w:jc w:val="center"/>
              <w:rPr>
                <w:rFonts w:asciiTheme="majorBidi" w:hAnsiTheme="majorBidi" w:cstheme="majorBidi"/>
                <w:b/>
                <w:bCs/>
                <w:kern w:val="0"/>
                <w:sz w:val="16"/>
                <w:szCs w:val="16"/>
              </w:rPr>
            </w:pPr>
            <w:r>
              <w:rPr>
                <w:rFonts w:asciiTheme="majorBidi" w:hAnsiTheme="majorBidi" w:cstheme="majorBidi"/>
                <w:b/>
                <w:bCs/>
                <w:sz w:val="16"/>
                <w:szCs w:val="16"/>
              </w:rPr>
              <w:t>Relationships</w:t>
            </w:r>
          </w:p>
        </w:tc>
      </w:tr>
      <w:tr w:rsidR="00CF1981" w:rsidTr="00BB71D6">
        <w:trPr>
          <w:cantSplit/>
          <w:trHeight w:val="260"/>
        </w:trPr>
        <w:tc>
          <w:tcPr>
            <w:tcW w:w="721" w:type="pct"/>
            <w:tcBorders>
              <w:top w:val="single" w:sz="4" w:space="0" w:color="auto"/>
              <w:left w:val="nil"/>
              <w:bottom w:val="single" w:sz="4" w:space="0" w:color="auto"/>
              <w:right w:val="nil"/>
            </w:tcBorders>
            <w:shd w:val="clear" w:color="auto" w:fill="FFFFFF"/>
          </w:tcPr>
          <w:p w:rsidR="00CF1981" w:rsidRDefault="00CF1981" w:rsidP="00BB71D6">
            <w:pPr>
              <w:wordWrap/>
              <w:adjustRightInd w:val="0"/>
              <w:spacing w:after="0" w:line="240" w:lineRule="auto"/>
              <w:ind w:left="60" w:right="60"/>
              <w:jc w:val="center"/>
              <w:rPr>
                <w:rFonts w:asciiTheme="majorBidi" w:hAnsiTheme="majorBidi" w:cstheme="majorBidi"/>
                <w:b/>
                <w:bCs/>
                <w:sz w:val="16"/>
                <w:szCs w:val="16"/>
              </w:rPr>
            </w:pPr>
            <w:r>
              <w:rPr>
                <w:rFonts w:asciiTheme="majorBidi" w:hAnsiTheme="majorBidi" w:cstheme="majorBidi"/>
                <w:b/>
                <w:bCs/>
                <w:sz w:val="16"/>
                <w:szCs w:val="16"/>
              </w:rPr>
              <w:t>Factors</w:t>
            </w:r>
          </w:p>
        </w:tc>
        <w:tc>
          <w:tcPr>
            <w:tcW w:w="857" w:type="pct"/>
            <w:gridSpan w:val="2"/>
            <w:tcBorders>
              <w:top w:val="single" w:sz="4" w:space="0" w:color="auto"/>
              <w:left w:val="nil"/>
              <w:bottom w:val="single" w:sz="4" w:space="0" w:color="auto"/>
              <w:right w:val="nil"/>
            </w:tcBorders>
            <w:shd w:val="clear" w:color="auto" w:fill="FFFFFF"/>
          </w:tcPr>
          <w:p w:rsidR="00CF1981" w:rsidRDefault="00CF1981" w:rsidP="00BB71D6">
            <w:pPr>
              <w:wordWrap/>
              <w:adjustRightInd w:val="0"/>
              <w:spacing w:after="0" w:line="240" w:lineRule="auto"/>
              <w:ind w:left="60" w:right="60"/>
              <w:jc w:val="center"/>
              <w:rPr>
                <w:rFonts w:asciiTheme="majorBidi" w:hAnsiTheme="majorBidi" w:cstheme="majorBidi"/>
                <w:b/>
                <w:bCs/>
                <w:sz w:val="16"/>
                <w:szCs w:val="16"/>
              </w:rPr>
            </w:pPr>
            <w:r>
              <w:rPr>
                <w:rFonts w:asciiTheme="majorBidi" w:hAnsiTheme="majorBidi" w:cstheme="majorBidi"/>
                <w:b/>
                <w:bCs/>
                <w:sz w:val="16"/>
                <w:szCs w:val="16"/>
              </w:rPr>
              <w:t>CHEC</w:t>
            </w:r>
          </w:p>
        </w:tc>
        <w:tc>
          <w:tcPr>
            <w:tcW w:w="734" w:type="pct"/>
            <w:tcBorders>
              <w:top w:val="single" w:sz="4" w:space="0" w:color="auto"/>
              <w:left w:val="nil"/>
              <w:bottom w:val="single" w:sz="4" w:space="0" w:color="auto"/>
              <w:right w:val="nil"/>
            </w:tcBorders>
            <w:shd w:val="clear" w:color="auto" w:fill="FFFFFF"/>
          </w:tcPr>
          <w:p w:rsidR="00CF1981" w:rsidRDefault="00CF1981" w:rsidP="00BB71D6">
            <w:pPr>
              <w:wordWrap/>
              <w:adjustRightInd w:val="0"/>
              <w:spacing w:after="0" w:line="240" w:lineRule="auto"/>
              <w:ind w:left="60" w:right="60"/>
              <w:jc w:val="center"/>
              <w:rPr>
                <w:rFonts w:asciiTheme="majorBidi" w:hAnsiTheme="majorBidi" w:cstheme="majorBidi"/>
                <w:b/>
                <w:bCs/>
                <w:sz w:val="16"/>
                <w:szCs w:val="16"/>
              </w:rPr>
            </w:pPr>
            <w:r>
              <w:rPr>
                <w:rFonts w:asciiTheme="majorBidi" w:hAnsiTheme="majorBidi" w:cstheme="majorBidi"/>
                <w:b/>
                <w:bCs/>
                <w:sz w:val="16"/>
                <w:szCs w:val="16"/>
              </w:rPr>
              <w:t>CHEI</w:t>
            </w:r>
          </w:p>
        </w:tc>
        <w:tc>
          <w:tcPr>
            <w:tcW w:w="667" w:type="pct"/>
            <w:tcBorders>
              <w:top w:val="single" w:sz="4" w:space="0" w:color="auto"/>
              <w:left w:val="nil"/>
              <w:bottom w:val="single" w:sz="4" w:space="0" w:color="auto"/>
              <w:right w:val="nil"/>
            </w:tcBorders>
            <w:shd w:val="clear" w:color="auto" w:fill="FFFFFF"/>
          </w:tcPr>
          <w:p w:rsidR="00CF1981" w:rsidRDefault="00CF1981" w:rsidP="00BB71D6">
            <w:pPr>
              <w:wordWrap/>
              <w:adjustRightInd w:val="0"/>
              <w:spacing w:after="0" w:line="240" w:lineRule="auto"/>
              <w:ind w:left="60" w:right="60"/>
              <w:jc w:val="center"/>
              <w:rPr>
                <w:rFonts w:asciiTheme="majorBidi" w:hAnsiTheme="majorBidi" w:cstheme="majorBidi"/>
                <w:b/>
                <w:bCs/>
                <w:sz w:val="16"/>
                <w:szCs w:val="16"/>
              </w:rPr>
            </w:pPr>
            <w:r>
              <w:rPr>
                <w:rFonts w:asciiTheme="majorBidi" w:hAnsiTheme="majorBidi" w:cstheme="majorBidi"/>
                <w:b/>
                <w:bCs/>
                <w:sz w:val="16"/>
                <w:szCs w:val="16"/>
              </w:rPr>
              <w:t>CCON</w:t>
            </w:r>
          </w:p>
        </w:tc>
        <w:tc>
          <w:tcPr>
            <w:tcW w:w="726" w:type="pct"/>
            <w:tcBorders>
              <w:top w:val="single" w:sz="4" w:space="0" w:color="auto"/>
              <w:left w:val="nil"/>
              <w:bottom w:val="single" w:sz="4" w:space="0" w:color="auto"/>
              <w:right w:val="nil"/>
            </w:tcBorders>
            <w:shd w:val="clear" w:color="auto" w:fill="FFFFFF"/>
          </w:tcPr>
          <w:p w:rsidR="00CF1981" w:rsidRDefault="00CF1981" w:rsidP="00BB71D6">
            <w:pPr>
              <w:tabs>
                <w:tab w:val="left" w:pos="1320"/>
              </w:tabs>
              <w:wordWrap/>
              <w:adjustRightInd w:val="0"/>
              <w:spacing w:after="0" w:line="240" w:lineRule="auto"/>
              <w:ind w:left="211" w:right="-311"/>
              <w:jc w:val="center"/>
              <w:rPr>
                <w:rFonts w:asciiTheme="majorBidi" w:hAnsiTheme="majorBidi" w:cstheme="majorBidi"/>
                <w:b/>
                <w:bCs/>
                <w:sz w:val="16"/>
                <w:szCs w:val="16"/>
              </w:rPr>
            </w:pPr>
            <w:r>
              <w:rPr>
                <w:rFonts w:asciiTheme="majorBidi" w:hAnsiTheme="majorBidi" w:cstheme="majorBidi"/>
                <w:b/>
                <w:bCs/>
                <w:sz w:val="16"/>
                <w:szCs w:val="16"/>
              </w:rPr>
              <w:t>CCOT</w:t>
            </w:r>
          </w:p>
        </w:tc>
        <w:tc>
          <w:tcPr>
            <w:tcW w:w="595" w:type="pct"/>
            <w:tcBorders>
              <w:top w:val="single" w:sz="4" w:space="0" w:color="auto"/>
              <w:left w:val="nil"/>
              <w:bottom w:val="single" w:sz="4" w:space="0" w:color="auto"/>
              <w:right w:val="nil"/>
            </w:tcBorders>
            <w:shd w:val="clear" w:color="auto" w:fill="FFFFFF"/>
          </w:tcPr>
          <w:p w:rsidR="00CF1981" w:rsidRDefault="00CF1981" w:rsidP="00BB71D6">
            <w:pPr>
              <w:wordWrap/>
              <w:adjustRightInd w:val="0"/>
              <w:spacing w:after="0" w:line="240" w:lineRule="auto"/>
              <w:ind w:right="60"/>
              <w:jc w:val="center"/>
              <w:rPr>
                <w:rFonts w:asciiTheme="majorBidi" w:hAnsiTheme="majorBidi" w:cstheme="majorBidi"/>
                <w:b/>
                <w:bCs/>
                <w:sz w:val="16"/>
                <w:szCs w:val="16"/>
              </w:rPr>
            </w:pPr>
            <w:r>
              <w:rPr>
                <w:rFonts w:asciiTheme="majorBidi" w:hAnsiTheme="majorBidi" w:cstheme="majorBidi"/>
                <w:b/>
                <w:bCs/>
                <w:sz w:val="16"/>
                <w:szCs w:val="16"/>
              </w:rPr>
              <w:t>CMA</w:t>
            </w:r>
          </w:p>
        </w:tc>
        <w:tc>
          <w:tcPr>
            <w:tcW w:w="701" w:type="pct"/>
            <w:tcBorders>
              <w:top w:val="single" w:sz="4" w:space="0" w:color="auto"/>
              <w:left w:val="nil"/>
              <w:bottom w:val="single" w:sz="4" w:space="0" w:color="auto"/>
              <w:right w:val="nil"/>
            </w:tcBorders>
            <w:shd w:val="clear" w:color="auto" w:fill="FFFFFF"/>
          </w:tcPr>
          <w:p w:rsidR="00CF1981" w:rsidRDefault="00CF1981" w:rsidP="00BB71D6">
            <w:pPr>
              <w:wordWrap/>
              <w:adjustRightInd w:val="0"/>
              <w:spacing w:after="0" w:line="240" w:lineRule="auto"/>
              <w:ind w:right="60"/>
              <w:jc w:val="center"/>
              <w:rPr>
                <w:rFonts w:asciiTheme="majorBidi" w:hAnsiTheme="majorBidi" w:cstheme="majorBidi"/>
                <w:b/>
                <w:bCs/>
                <w:sz w:val="16"/>
                <w:szCs w:val="16"/>
              </w:rPr>
            </w:pPr>
            <w:r>
              <w:rPr>
                <w:rFonts w:asciiTheme="majorBidi" w:hAnsiTheme="majorBidi" w:cstheme="majorBidi"/>
                <w:b/>
                <w:bCs/>
                <w:sz w:val="16"/>
                <w:szCs w:val="16"/>
              </w:rPr>
              <w:t>CEX</w:t>
            </w:r>
          </w:p>
        </w:tc>
      </w:tr>
      <w:tr w:rsidR="00CF1981" w:rsidTr="00BB71D6">
        <w:trPr>
          <w:cantSplit/>
          <w:trHeight w:val="737"/>
        </w:trPr>
        <w:tc>
          <w:tcPr>
            <w:tcW w:w="721" w:type="pct"/>
            <w:tcBorders>
              <w:top w:val="single" w:sz="4" w:space="0" w:color="auto"/>
              <w:left w:val="nil"/>
              <w:right w:val="nil"/>
            </w:tcBorders>
            <w:shd w:val="clear" w:color="auto" w:fill="FFFFFF"/>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857" w:type="pct"/>
            <w:gridSpan w:val="2"/>
            <w:tcBorders>
              <w:top w:val="single" w:sz="4" w:space="0" w:color="auto"/>
              <w:left w:val="nil"/>
              <w:right w:val="nil"/>
            </w:tcBorders>
            <w:shd w:val="clear" w:color="auto" w:fill="FFFFFF"/>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 xml:space="preserve">Correlation of Higher Education Commission </w:t>
            </w:r>
          </w:p>
        </w:tc>
        <w:tc>
          <w:tcPr>
            <w:tcW w:w="734" w:type="pct"/>
            <w:tcBorders>
              <w:top w:val="single" w:sz="4" w:space="0" w:color="auto"/>
              <w:left w:val="nil"/>
              <w:right w:val="nil"/>
            </w:tcBorders>
            <w:shd w:val="clear" w:color="auto" w:fill="FFFFFF"/>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Correlation of Higher Education Institutions</w:t>
            </w:r>
          </w:p>
        </w:tc>
        <w:tc>
          <w:tcPr>
            <w:tcW w:w="667" w:type="pct"/>
            <w:tcBorders>
              <w:top w:val="single" w:sz="4" w:space="0" w:color="auto"/>
              <w:left w:val="nil"/>
              <w:right w:val="nil"/>
            </w:tcBorders>
            <w:shd w:val="clear" w:color="auto" w:fill="FFFFFF"/>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Correlation of Consultant</w:t>
            </w:r>
          </w:p>
        </w:tc>
        <w:tc>
          <w:tcPr>
            <w:tcW w:w="726" w:type="pct"/>
            <w:tcBorders>
              <w:top w:val="single" w:sz="4" w:space="0" w:color="auto"/>
              <w:left w:val="nil"/>
              <w:right w:val="nil"/>
            </w:tcBorders>
            <w:shd w:val="clear" w:color="auto" w:fill="FFFFFF"/>
          </w:tcPr>
          <w:p w:rsidR="00CF1981" w:rsidRDefault="00CF1981" w:rsidP="00BB71D6">
            <w:pPr>
              <w:tabs>
                <w:tab w:val="left" w:pos="1320"/>
              </w:tabs>
              <w:wordWrap/>
              <w:adjustRightInd w:val="0"/>
              <w:spacing w:after="0" w:line="240" w:lineRule="auto"/>
              <w:ind w:left="211" w:right="60"/>
              <w:rPr>
                <w:rFonts w:asciiTheme="majorBidi" w:hAnsiTheme="majorBidi" w:cstheme="majorBidi"/>
                <w:sz w:val="16"/>
                <w:szCs w:val="16"/>
              </w:rPr>
            </w:pPr>
            <w:r>
              <w:rPr>
                <w:rFonts w:asciiTheme="majorBidi" w:hAnsiTheme="majorBidi" w:cstheme="majorBidi"/>
                <w:sz w:val="16"/>
                <w:szCs w:val="16"/>
              </w:rPr>
              <w:t>Correlation of Constructor</w:t>
            </w:r>
          </w:p>
        </w:tc>
        <w:tc>
          <w:tcPr>
            <w:tcW w:w="595" w:type="pct"/>
            <w:tcBorders>
              <w:top w:val="single" w:sz="4" w:space="0" w:color="auto"/>
              <w:left w:val="nil"/>
              <w:right w:val="nil"/>
            </w:tcBorders>
            <w:shd w:val="clear" w:color="auto" w:fill="FFFFFF"/>
          </w:tcPr>
          <w:p w:rsidR="00CF1981" w:rsidRDefault="00CF1981" w:rsidP="00BB71D6">
            <w:pPr>
              <w:wordWrap/>
              <w:adjustRightInd w:val="0"/>
              <w:spacing w:after="0" w:line="240" w:lineRule="auto"/>
              <w:ind w:right="60"/>
              <w:rPr>
                <w:rFonts w:asciiTheme="majorBidi" w:hAnsiTheme="majorBidi" w:cstheme="majorBidi"/>
                <w:sz w:val="16"/>
                <w:szCs w:val="16"/>
              </w:rPr>
            </w:pPr>
            <w:r>
              <w:rPr>
                <w:rFonts w:asciiTheme="majorBidi" w:hAnsiTheme="majorBidi" w:cstheme="majorBidi"/>
                <w:sz w:val="16"/>
                <w:szCs w:val="16"/>
              </w:rPr>
              <w:t>Correlation of Material</w:t>
            </w:r>
          </w:p>
        </w:tc>
        <w:tc>
          <w:tcPr>
            <w:tcW w:w="701" w:type="pct"/>
            <w:tcBorders>
              <w:top w:val="single" w:sz="4" w:space="0" w:color="auto"/>
              <w:left w:val="nil"/>
              <w:right w:val="nil"/>
            </w:tcBorders>
            <w:shd w:val="clear" w:color="auto" w:fill="FFFFFF"/>
          </w:tcPr>
          <w:p w:rsidR="00CF1981" w:rsidRDefault="00CF1981" w:rsidP="00BB71D6">
            <w:pPr>
              <w:wordWrap/>
              <w:adjustRightInd w:val="0"/>
              <w:spacing w:after="0" w:line="240" w:lineRule="auto"/>
              <w:ind w:right="60"/>
              <w:rPr>
                <w:rFonts w:asciiTheme="majorBidi" w:hAnsiTheme="majorBidi" w:cstheme="majorBidi"/>
                <w:sz w:val="16"/>
                <w:szCs w:val="16"/>
              </w:rPr>
            </w:pPr>
            <w:r>
              <w:rPr>
                <w:rFonts w:asciiTheme="majorBidi" w:hAnsiTheme="majorBidi" w:cstheme="majorBidi"/>
                <w:sz w:val="16"/>
                <w:szCs w:val="16"/>
              </w:rPr>
              <w:t>Correlation of External</w:t>
            </w:r>
          </w:p>
        </w:tc>
      </w:tr>
      <w:tr w:rsidR="00CF1981" w:rsidTr="00BB71D6">
        <w:trPr>
          <w:cantSplit/>
          <w:trHeight w:val="179"/>
        </w:trPr>
        <w:tc>
          <w:tcPr>
            <w:tcW w:w="1173" w:type="pct"/>
            <w:gridSpan w:val="2"/>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CHEC</w:t>
            </w:r>
          </w:p>
        </w:tc>
        <w:tc>
          <w:tcPr>
            <w:tcW w:w="40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right="60"/>
              <w:rPr>
                <w:rFonts w:asciiTheme="majorBidi" w:hAnsiTheme="majorBidi" w:cstheme="majorBidi"/>
                <w:sz w:val="16"/>
                <w:szCs w:val="16"/>
              </w:rPr>
            </w:pPr>
            <w:r>
              <w:rPr>
                <w:rFonts w:asciiTheme="majorBidi" w:hAnsiTheme="majorBidi" w:cstheme="majorBidi"/>
                <w:sz w:val="16"/>
                <w:szCs w:val="16"/>
              </w:rPr>
              <w:t>1.0</w:t>
            </w:r>
          </w:p>
        </w:tc>
        <w:tc>
          <w:tcPr>
            <w:tcW w:w="734"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373" w:right="60" w:firstLine="433"/>
              <w:rPr>
                <w:rFonts w:asciiTheme="majorBidi" w:hAnsiTheme="majorBidi" w:cstheme="majorBidi"/>
                <w:sz w:val="16"/>
                <w:szCs w:val="16"/>
              </w:rPr>
            </w:pPr>
            <w:r>
              <w:rPr>
                <w:rFonts w:asciiTheme="majorBidi" w:hAnsiTheme="majorBidi" w:cstheme="majorBidi"/>
                <w:sz w:val="16"/>
                <w:szCs w:val="16"/>
              </w:rPr>
              <w:t>0.096</w:t>
            </w:r>
          </w:p>
        </w:tc>
        <w:tc>
          <w:tcPr>
            <w:tcW w:w="667"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0.071</w:t>
            </w:r>
          </w:p>
        </w:tc>
        <w:tc>
          <w:tcPr>
            <w:tcW w:w="726"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0.042</w:t>
            </w:r>
          </w:p>
        </w:tc>
        <w:tc>
          <w:tcPr>
            <w:tcW w:w="59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right="60"/>
              <w:rPr>
                <w:rFonts w:asciiTheme="majorBidi" w:hAnsiTheme="majorBidi" w:cstheme="majorBidi"/>
                <w:sz w:val="16"/>
                <w:szCs w:val="16"/>
              </w:rPr>
            </w:pPr>
            <w:r>
              <w:rPr>
                <w:rFonts w:asciiTheme="majorBidi" w:hAnsiTheme="majorBidi" w:cstheme="majorBidi"/>
                <w:sz w:val="16"/>
                <w:szCs w:val="16"/>
              </w:rPr>
              <w:t>0.177</w:t>
            </w:r>
            <w:r>
              <w:rPr>
                <w:rFonts w:asciiTheme="majorBidi" w:hAnsiTheme="majorBidi" w:cstheme="majorBidi"/>
                <w:sz w:val="16"/>
                <w:szCs w:val="16"/>
                <w:vertAlign w:val="superscript"/>
              </w:rPr>
              <w:t>*</w:t>
            </w:r>
          </w:p>
        </w:tc>
        <w:tc>
          <w:tcPr>
            <w:tcW w:w="701"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0.083</w:t>
            </w:r>
          </w:p>
        </w:tc>
      </w:tr>
      <w:tr w:rsidR="00CF1981" w:rsidTr="00BB71D6">
        <w:trPr>
          <w:cantSplit/>
          <w:trHeight w:val="187"/>
        </w:trPr>
        <w:tc>
          <w:tcPr>
            <w:tcW w:w="1173" w:type="pct"/>
            <w:gridSpan w:val="2"/>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rPr>
                <w:rFonts w:asciiTheme="majorBidi" w:hAnsiTheme="majorBidi" w:cstheme="majorBidi"/>
                <w:sz w:val="16"/>
                <w:szCs w:val="16"/>
              </w:rPr>
            </w:pPr>
            <w:r>
              <w:rPr>
                <w:rFonts w:asciiTheme="majorBidi" w:hAnsiTheme="majorBidi" w:cstheme="majorBidi"/>
                <w:sz w:val="16"/>
                <w:szCs w:val="16"/>
              </w:rPr>
              <w:t>P-Value</w:t>
            </w:r>
          </w:p>
        </w:tc>
        <w:tc>
          <w:tcPr>
            <w:tcW w:w="405" w:type="pct"/>
            <w:tcBorders>
              <w:top w:val="single" w:sz="4" w:space="0" w:color="auto"/>
              <w:left w:val="nil"/>
              <w:bottom w:val="single" w:sz="4" w:space="0" w:color="auto"/>
              <w:right w:val="nil"/>
            </w:tcBorders>
            <w:shd w:val="clear" w:color="auto" w:fill="FFFFFF"/>
          </w:tcPr>
          <w:p w:rsidR="00CF1981" w:rsidRDefault="00CF1981" w:rsidP="00BB71D6">
            <w:pPr>
              <w:wordWrap/>
              <w:adjustRightInd w:val="0"/>
              <w:spacing w:after="0" w:line="240" w:lineRule="auto"/>
              <w:rPr>
                <w:rFonts w:asciiTheme="majorBidi" w:hAnsiTheme="majorBidi" w:cstheme="majorBidi"/>
                <w:sz w:val="16"/>
                <w:szCs w:val="16"/>
              </w:rPr>
            </w:pPr>
          </w:p>
        </w:tc>
        <w:tc>
          <w:tcPr>
            <w:tcW w:w="734"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0.232</w:t>
            </w:r>
          </w:p>
        </w:tc>
        <w:tc>
          <w:tcPr>
            <w:tcW w:w="667"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0.373</w:t>
            </w:r>
          </w:p>
        </w:tc>
        <w:tc>
          <w:tcPr>
            <w:tcW w:w="726"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0.596</w:t>
            </w:r>
          </w:p>
        </w:tc>
        <w:tc>
          <w:tcPr>
            <w:tcW w:w="59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right="60"/>
              <w:rPr>
                <w:rFonts w:asciiTheme="majorBidi" w:hAnsiTheme="majorBidi" w:cstheme="majorBidi"/>
                <w:sz w:val="16"/>
                <w:szCs w:val="16"/>
              </w:rPr>
            </w:pPr>
            <w:r>
              <w:rPr>
                <w:rFonts w:asciiTheme="majorBidi" w:hAnsiTheme="majorBidi" w:cstheme="majorBidi"/>
                <w:sz w:val="16"/>
                <w:szCs w:val="16"/>
              </w:rPr>
              <w:t>0.026</w:t>
            </w:r>
          </w:p>
        </w:tc>
        <w:tc>
          <w:tcPr>
            <w:tcW w:w="701"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0.302</w:t>
            </w:r>
          </w:p>
        </w:tc>
      </w:tr>
      <w:tr w:rsidR="00CF1981" w:rsidTr="00BB71D6">
        <w:trPr>
          <w:cantSplit/>
          <w:trHeight w:val="187"/>
        </w:trPr>
        <w:tc>
          <w:tcPr>
            <w:tcW w:w="1173" w:type="pct"/>
            <w:gridSpan w:val="2"/>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CHEI</w:t>
            </w:r>
          </w:p>
        </w:tc>
        <w:tc>
          <w:tcPr>
            <w:tcW w:w="40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734"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1.0</w:t>
            </w:r>
          </w:p>
        </w:tc>
        <w:tc>
          <w:tcPr>
            <w:tcW w:w="667"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0.123</w:t>
            </w:r>
          </w:p>
        </w:tc>
        <w:tc>
          <w:tcPr>
            <w:tcW w:w="726"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0.062</w:t>
            </w:r>
          </w:p>
        </w:tc>
        <w:tc>
          <w:tcPr>
            <w:tcW w:w="59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right="60"/>
              <w:rPr>
                <w:rFonts w:asciiTheme="majorBidi" w:hAnsiTheme="majorBidi" w:cstheme="majorBidi"/>
                <w:sz w:val="16"/>
                <w:szCs w:val="16"/>
              </w:rPr>
            </w:pPr>
            <w:r>
              <w:rPr>
                <w:rFonts w:asciiTheme="majorBidi" w:hAnsiTheme="majorBidi" w:cstheme="majorBidi"/>
                <w:sz w:val="16"/>
                <w:szCs w:val="16"/>
              </w:rPr>
              <w:t>0.198</w:t>
            </w:r>
            <w:r>
              <w:rPr>
                <w:rFonts w:asciiTheme="majorBidi" w:hAnsiTheme="majorBidi" w:cstheme="majorBidi"/>
                <w:sz w:val="16"/>
                <w:szCs w:val="16"/>
                <w:vertAlign w:val="superscript"/>
              </w:rPr>
              <w:t>*</w:t>
            </w:r>
          </w:p>
        </w:tc>
        <w:tc>
          <w:tcPr>
            <w:tcW w:w="701"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-0.131</w:t>
            </w:r>
          </w:p>
        </w:tc>
      </w:tr>
      <w:tr w:rsidR="00CF1981" w:rsidTr="00BB71D6">
        <w:trPr>
          <w:cantSplit/>
          <w:trHeight w:val="187"/>
        </w:trPr>
        <w:tc>
          <w:tcPr>
            <w:tcW w:w="1173" w:type="pct"/>
            <w:gridSpan w:val="2"/>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rPr>
                <w:rFonts w:asciiTheme="majorBidi" w:hAnsiTheme="majorBidi" w:cstheme="majorBidi"/>
                <w:sz w:val="16"/>
                <w:szCs w:val="16"/>
              </w:rPr>
            </w:pPr>
            <w:r>
              <w:rPr>
                <w:rFonts w:asciiTheme="majorBidi" w:hAnsiTheme="majorBidi" w:cstheme="majorBidi"/>
                <w:sz w:val="16"/>
                <w:szCs w:val="16"/>
              </w:rPr>
              <w:t>P-Value</w:t>
            </w:r>
          </w:p>
        </w:tc>
        <w:tc>
          <w:tcPr>
            <w:tcW w:w="40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734" w:type="pct"/>
            <w:tcBorders>
              <w:top w:val="single" w:sz="4" w:space="0" w:color="auto"/>
              <w:left w:val="nil"/>
              <w:bottom w:val="single" w:sz="4" w:space="0" w:color="auto"/>
              <w:right w:val="nil"/>
            </w:tcBorders>
            <w:shd w:val="clear" w:color="auto" w:fill="FFFFFF"/>
          </w:tcPr>
          <w:p w:rsidR="00CF1981" w:rsidRDefault="00CF1981" w:rsidP="00BB71D6">
            <w:pPr>
              <w:wordWrap/>
              <w:adjustRightInd w:val="0"/>
              <w:spacing w:after="0" w:line="240" w:lineRule="auto"/>
              <w:rPr>
                <w:rFonts w:asciiTheme="majorBidi" w:hAnsiTheme="majorBidi" w:cstheme="majorBidi"/>
                <w:sz w:val="16"/>
                <w:szCs w:val="16"/>
              </w:rPr>
            </w:pPr>
          </w:p>
        </w:tc>
        <w:tc>
          <w:tcPr>
            <w:tcW w:w="667"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0.133</w:t>
            </w:r>
          </w:p>
        </w:tc>
        <w:tc>
          <w:tcPr>
            <w:tcW w:w="726"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0.441</w:t>
            </w:r>
          </w:p>
        </w:tc>
        <w:tc>
          <w:tcPr>
            <w:tcW w:w="59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right="60"/>
              <w:rPr>
                <w:rFonts w:asciiTheme="majorBidi" w:hAnsiTheme="majorBidi" w:cstheme="majorBidi"/>
                <w:sz w:val="16"/>
                <w:szCs w:val="16"/>
              </w:rPr>
            </w:pPr>
            <w:r>
              <w:rPr>
                <w:rFonts w:asciiTheme="majorBidi" w:hAnsiTheme="majorBidi" w:cstheme="majorBidi"/>
                <w:sz w:val="16"/>
                <w:szCs w:val="16"/>
              </w:rPr>
              <w:t>0.013</w:t>
            </w:r>
          </w:p>
        </w:tc>
        <w:tc>
          <w:tcPr>
            <w:tcW w:w="701"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0.102</w:t>
            </w:r>
          </w:p>
        </w:tc>
      </w:tr>
      <w:tr w:rsidR="00CF1981" w:rsidTr="00BB71D6">
        <w:trPr>
          <w:cantSplit/>
          <w:trHeight w:val="187"/>
        </w:trPr>
        <w:tc>
          <w:tcPr>
            <w:tcW w:w="1173" w:type="pct"/>
            <w:gridSpan w:val="2"/>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CCON</w:t>
            </w:r>
          </w:p>
        </w:tc>
        <w:tc>
          <w:tcPr>
            <w:tcW w:w="40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734"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667"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1.0</w:t>
            </w:r>
          </w:p>
        </w:tc>
        <w:tc>
          <w:tcPr>
            <w:tcW w:w="726"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-0.027</w:t>
            </w:r>
          </w:p>
        </w:tc>
        <w:tc>
          <w:tcPr>
            <w:tcW w:w="59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right="60"/>
              <w:rPr>
                <w:rFonts w:asciiTheme="majorBidi" w:hAnsiTheme="majorBidi" w:cstheme="majorBidi"/>
                <w:sz w:val="16"/>
                <w:szCs w:val="16"/>
              </w:rPr>
            </w:pPr>
            <w:r>
              <w:rPr>
                <w:rFonts w:asciiTheme="majorBidi" w:hAnsiTheme="majorBidi" w:cstheme="majorBidi"/>
                <w:sz w:val="16"/>
                <w:szCs w:val="16"/>
              </w:rPr>
              <w:t>0.197</w:t>
            </w:r>
            <w:r>
              <w:rPr>
                <w:rFonts w:asciiTheme="majorBidi" w:hAnsiTheme="majorBidi" w:cstheme="majorBidi"/>
                <w:sz w:val="16"/>
                <w:szCs w:val="16"/>
                <w:vertAlign w:val="superscript"/>
              </w:rPr>
              <w:t>*</w:t>
            </w:r>
          </w:p>
        </w:tc>
        <w:tc>
          <w:tcPr>
            <w:tcW w:w="701"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-0.123</w:t>
            </w:r>
          </w:p>
        </w:tc>
      </w:tr>
      <w:tr w:rsidR="00CF1981" w:rsidTr="00BB71D6">
        <w:trPr>
          <w:cantSplit/>
          <w:trHeight w:val="179"/>
        </w:trPr>
        <w:tc>
          <w:tcPr>
            <w:tcW w:w="1173" w:type="pct"/>
            <w:gridSpan w:val="2"/>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rPr>
                <w:rFonts w:asciiTheme="majorBidi" w:hAnsiTheme="majorBidi" w:cstheme="majorBidi"/>
                <w:sz w:val="16"/>
                <w:szCs w:val="16"/>
              </w:rPr>
            </w:pPr>
            <w:r>
              <w:rPr>
                <w:rFonts w:asciiTheme="majorBidi" w:hAnsiTheme="majorBidi" w:cstheme="majorBidi"/>
                <w:sz w:val="16"/>
                <w:szCs w:val="16"/>
              </w:rPr>
              <w:t>P-Value</w:t>
            </w:r>
          </w:p>
        </w:tc>
        <w:tc>
          <w:tcPr>
            <w:tcW w:w="40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734"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667" w:type="pct"/>
            <w:tcBorders>
              <w:top w:val="single" w:sz="4" w:space="0" w:color="auto"/>
              <w:left w:val="nil"/>
              <w:bottom w:val="single" w:sz="4" w:space="0" w:color="auto"/>
              <w:right w:val="nil"/>
            </w:tcBorders>
            <w:shd w:val="clear" w:color="auto" w:fill="FFFFFF"/>
          </w:tcPr>
          <w:p w:rsidR="00CF1981" w:rsidRDefault="00CF1981" w:rsidP="00BB71D6">
            <w:pPr>
              <w:wordWrap/>
              <w:adjustRightInd w:val="0"/>
              <w:spacing w:after="0" w:line="240" w:lineRule="auto"/>
              <w:rPr>
                <w:rFonts w:asciiTheme="majorBidi" w:hAnsiTheme="majorBidi" w:cstheme="majorBidi"/>
                <w:sz w:val="16"/>
                <w:szCs w:val="16"/>
              </w:rPr>
            </w:pPr>
          </w:p>
        </w:tc>
        <w:tc>
          <w:tcPr>
            <w:tcW w:w="726"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0.740</w:t>
            </w:r>
          </w:p>
        </w:tc>
        <w:tc>
          <w:tcPr>
            <w:tcW w:w="59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right="60"/>
              <w:rPr>
                <w:rFonts w:asciiTheme="majorBidi" w:hAnsiTheme="majorBidi" w:cstheme="majorBidi"/>
                <w:sz w:val="16"/>
                <w:szCs w:val="16"/>
              </w:rPr>
            </w:pPr>
            <w:r>
              <w:rPr>
                <w:rFonts w:asciiTheme="majorBidi" w:hAnsiTheme="majorBidi" w:cstheme="majorBidi"/>
                <w:sz w:val="16"/>
                <w:szCs w:val="16"/>
              </w:rPr>
              <w:t>0.015</w:t>
            </w:r>
          </w:p>
        </w:tc>
        <w:tc>
          <w:tcPr>
            <w:tcW w:w="701"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0.126</w:t>
            </w:r>
          </w:p>
        </w:tc>
      </w:tr>
      <w:tr w:rsidR="00CF1981" w:rsidTr="00BB71D6">
        <w:trPr>
          <w:cantSplit/>
          <w:trHeight w:val="187"/>
        </w:trPr>
        <w:tc>
          <w:tcPr>
            <w:tcW w:w="1173" w:type="pct"/>
            <w:gridSpan w:val="2"/>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CCOT</w:t>
            </w:r>
          </w:p>
        </w:tc>
        <w:tc>
          <w:tcPr>
            <w:tcW w:w="40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734"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667"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726"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1.0</w:t>
            </w:r>
          </w:p>
        </w:tc>
        <w:tc>
          <w:tcPr>
            <w:tcW w:w="59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right="60"/>
              <w:rPr>
                <w:rFonts w:asciiTheme="majorBidi" w:hAnsiTheme="majorBidi" w:cstheme="majorBidi"/>
                <w:sz w:val="16"/>
                <w:szCs w:val="16"/>
              </w:rPr>
            </w:pPr>
            <w:r>
              <w:rPr>
                <w:rFonts w:asciiTheme="majorBidi" w:hAnsiTheme="majorBidi" w:cstheme="majorBidi"/>
                <w:sz w:val="16"/>
                <w:szCs w:val="16"/>
              </w:rPr>
              <w:t>0.660</w:t>
            </w:r>
            <w:r>
              <w:rPr>
                <w:rFonts w:asciiTheme="majorBidi" w:hAnsiTheme="majorBidi" w:cstheme="majorBidi"/>
                <w:sz w:val="16"/>
                <w:szCs w:val="16"/>
                <w:vertAlign w:val="superscript"/>
              </w:rPr>
              <w:t>**</w:t>
            </w:r>
          </w:p>
        </w:tc>
        <w:tc>
          <w:tcPr>
            <w:tcW w:w="701"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0.082</w:t>
            </w:r>
          </w:p>
        </w:tc>
      </w:tr>
      <w:tr w:rsidR="00CF1981" w:rsidTr="00BB71D6">
        <w:trPr>
          <w:cantSplit/>
          <w:trHeight w:val="187"/>
        </w:trPr>
        <w:tc>
          <w:tcPr>
            <w:tcW w:w="1173" w:type="pct"/>
            <w:gridSpan w:val="2"/>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rPr>
                <w:rFonts w:asciiTheme="majorBidi" w:hAnsiTheme="majorBidi" w:cstheme="majorBidi"/>
                <w:sz w:val="16"/>
                <w:szCs w:val="16"/>
              </w:rPr>
            </w:pPr>
            <w:r>
              <w:rPr>
                <w:rFonts w:asciiTheme="majorBidi" w:hAnsiTheme="majorBidi" w:cstheme="majorBidi"/>
                <w:sz w:val="16"/>
                <w:szCs w:val="16"/>
              </w:rPr>
              <w:t>P-Value</w:t>
            </w:r>
          </w:p>
        </w:tc>
        <w:tc>
          <w:tcPr>
            <w:tcW w:w="40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734"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667"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726" w:type="pct"/>
            <w:tcBorders>
              <w:top w:val="single" w:sz="4" w:space="0" w:color="auto"/>
              <w:left w:val="nil"/>
              <w:bottom w:val="single" w:sz="4" w:space="0" w:color="auto"/>
              <w:right w:val="nil"/>
            </w:tcBorders>
            <w:shd w:val="clear" w:color="auto" w:fill="FFFFFF"/>
          </w:tcPr>
          <w:p w:rsidR="00CF1981" w:rsidRDefault="00CF1981" w:rsidP="00BB71D6">
            <w:pPr>
              <w:wordWrap/>
              <w:adjustRightInd w:val="0"/>
              <w:spacing w:after="0" w:line="240" w:lineRule="auto"/>
              <w:rPr>
                <w:rFonts w:asciiTheme="majorBidi" w:hAnsiTheme="majorBidi" w:cstheme="majorBidi"/>
                <w:sz w:val="16"/>
                <w:szCs w:val="16"/>
              </w:rPr>
            </w:pPr>
          </w:p>
        </w:tc>
        <w:tc>
          <w:tcPr>
            <w:tcW w:w="59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right="60"/>
              <w:rPr>
                <w:rFonts w:asciiTheme="majorBidi" w:hAnsiTheme="majorBidi" w:cstheme="majorBidi"/>
                <w:sz w:val="16"/>
                <w:szCs w:val="16"/>
              </w:rPr>
            </w:pPr>
            <w:r>
              <w:rPr>
                <w:rFonts w:asciiTheme="majorBidi" w:hAnsiTheme="majorBidi" w:cstheme="majorBidi"/>
                <w:sz w:val="16"/>
                <w:szCs w:val="16"/>
              </w:rPr>
              <w:t>0.00</w:t>
            </w:r>
          </w:p>
        </w:tc>
        <w:tc>
          <w:tcPr>
            <w:tcW w:w="701"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0.314</w:t>
            </w:r>
          </w:p>
        </w:tc>
      </w:tr>
      <w:tr w:rsidR="00CF1981" w:rsidTr="00BB71D6">
        <w:trPr>
          <w:cantSplit/>
          <w:trHeight w:val="187"/>
        </w:trPr>
        <w:tc>
          <w:tcPr>
            <w:tcW w:w="1173" w:type="pct"/>
            <w:gridSpan w:val="2"/>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CMA</w:t>
            </w:r>
          </w:p>
        </w:tc>
        <w:tc>
          <w:tcPr>
            <w:tcW w:w="40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734"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667"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726"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59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right="60"/>
              <w:rPr>
                <w:rFonts w:asciiTheme="majorBidi" w:hAnsiTheme="majorBidi" w:cstheme="majorBidi"/>
                <w:sz w:val="16"/>
                <w:szCs w:val="16"/>
              </w:rPr>
            </w:pPr>
            <w:r>
              <w:rPr>
                <w:rFonts w:asciiTheme="majorBidi" w:hAnsiTheme="majorBidi" w:cstheme="majorBidi"/>
                <w:sz w:val="16"/>
                <w:szCs w:val="16"/>
              </w:rPr>
              <w:t>1.0</w:t>
            </w:r>
          </w:p>
        </w:tc>
        <w:tc>
          <w:tcPr>
            <w:tcW w:w="701"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-0.178</w:t>
            </w:r>
            <w:r>
              <w:rPr>
                <w:rFonts w:asciiTheme="majorBidi" w:hAnsiTheme="majorBidi" w:cstheme="majorBidi"/>
                <w:sz w:val="16"/>
                <w:szCs w:val="16"/>
                <w:vertAlign w:val="superscript"/>
              </w:rPr>
              <w:t>*</w:t>
            </w:r>
          </w:p>
        </w:tc>
      </w:tr>
      <w:tr w:rsidR="00CF1981" w:rsidTr="00BB71D6">
        <w:trPr>
          <w:cantSplit/>
          <w:trHeight w:val="187"/>
        </w:trPr>
        <w:tc>
          <w:tcPr>
            <w:tcW w:w="1173" w:type="pct"/>
            <w:gridSpan w:val="2"/>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rPr>
                <w:rFonts w:asciiTheme="majorBidi" w:hAnsiTheme="majorBidi" w:cstheme="majorBidi"/>
                <w:sz w:val="16"/>
                <w:szCs w:val="16"/>
              </w:rPr>
            </w:pPr>
            <w:r>
              <w:rPr>
                <w:rFonts w:asciiTheme="majorBidi" w:hAnsiTheme="majorBidi" w:cstheme="majorBidi"/>
                <w:sz w:val="16"/>
                <w:szCs w:val="16"/>
              </w:rPr>
              <w:t>P-Value</w:t>
            </w:r>
          </w:p>
        </w:tc>
        <w:tc>
          <w:tcPr>
            <w:tcW w:w="40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734"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667"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726"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595" w:type="pct"/>
            <w:tcBorders>
              <w:top w:val="single" w:sz="4" w:space="0" w:color="auto"/>
              <w:left w:val="nil"/>
              <w:bottom w:val="single" w:sz="4" w:space="0" w:color="auto"/>
              <w:right w:val="nil"/>
            </w:tcBorders>
            <w:shd w:val="clear" w:color="auto" w:fill="FFFFFF"/>
          </w:tcPr>
          <w:p w:rsidR="00CF1981" w:rsidRDefault="00CF1981" w:rsidP="00BB71D6">
            <w:pPr>
              <w:wordWrap/>
              <w:adjustRightInd w:val="0"/>
              <w:spacing w:after="0" w:line="240" w:lineRule="auto"/>
              <w:rPr>
                <w:rFonts w:asciiTheme="majorBidi" w:hAnsiTheme="majorBidi" w:cstheme="majorBidi"/>
                <w:sz w:val="16"/>
                <w:szCs w:val="16"/>
              </w:rPr>
            </w:pPr>
          </w:p>
        </w:tc>
        <w:tc>
          <w:tcPr>
            <w:tcW w:w="701"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0.027</w:t>
            </w:r>
          </w:p>
        </w:tc>
      </w:tr>
      <w:tr w:rsidR="00CF1981" w:rsidTr="00BB71D6">
        <w:trPr>
          <w:cantSplit/>
          <w:trHeight w:val="179"/>
        </w:trPr>
        <w:tc>
          <w:tcPr>
            <w:tcW w:w="1173" w:type="pct"/>
            <w:gridSpan w:val="2"/>
            <w:vMerge w:val="restar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CEX</w:t>
            </w:r>
          </w:p>
        </w:tc>
        <w:tc>
          <w:tcPr>
            <w:tcW w:w="40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734"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667"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726"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59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701"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1.0</w:t>
            </w:r>
          </w:p>
        </w:tc>
      </w:tr>
      <w:tr w:rsidR="00CF1981" w:rsidTr="00BB71D6">
        <w:trPr>
          <w:cantSplit/>
          <w:trHeight w:val="202"/>
        </w:trPr>
        <w:tc>
          <w:tcPr>
            <w:tcW w:w="1173" w:type="pct"/>
            <w:gridSpan w:val="2"/>
            <w:vMerge/>
            <w:tcBorders>
              <w:top w:val="single" w:sz="4" w:space="0" w:color="auto"/>
              <w:left w:val="nil"/>
              <w:bottom w:val="single" w:sz="4" w:space="0" w:color="auto"/>
              <w:right w:val="nil"/>
            </w:tcBorders>
            <w:vAlign w:val="center"/>
          </w:tcPr>
          <w:p w:rsidR="00CF1981" w:rsidRDefault="00CF1981" w:rsidP="00BB71D6">
            <w:pPr>
              <w:wordWrap/>
              <w:spacing w:after="0" w:line="240" w:lineRule="auto"/>
              <w:rPr>
                <w:rFonts w:asciiTheme="majorBidi" w:eastAsia="LM Roman 12" w:hAnsiTheme="majorBidi" w:cstheme="majorBidi"/>
                <w:sz w:val="16"/>
                <w:szCs w:val="16"/>
              </w:rPr>
            </w:pPr>
          </w:p>
        </w:tc>
        <w:tc>
          <w:tcPr>
            <w:tcW w:w="40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734"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667"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726"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595" w:type="pct"/>
            <w:tcBorders>
              <w:top w:val="single" w:sz="4" w:space="0" w:color="auto"/>
              <w:left w:val="nil"/>
              <w:bottom w:val="single" w:sz="4" w:space="0" w:color="auto"/>
              <w:right w:val="nil"/>
            </w:tcBorders>
            <w:shd w:val="clear" w:color="auto" w:fill="FFFFFF"/>
            <w:vAlign w:val="center"/>
          </w:tcPr>
          <w:p w:rsidR="00CF1981" w:rsidRDefault="00CF1981" w:rsidP="00BB71D6">
            <w:pPr>
              <w:wordWrap/>
              <w:adjustRightInd w:val="0"/>
              <w:spacing w:after="0" w:line="240" w:lineRule="auto"/>
              <w:ind w:left="60" w:right="60"/>
              <w:rPr>
                <w:rFonts w:asciiTheme="majorBidi" w:hAnsiTheme="majorBidi" w:cstheme="majorBidi"/>
                <w:sz w:val="16"/>
                <w:szCs w:val="16"/>
              </w:rPr>
            </w:pPr>
          </w:p>
        </w:tc>
        <w:tc>
          <w:tcPr>
            <w:tcW w:w="701" w:type="pct"/>
            <w:tcBorders>
              <w:top w:val="single" w:sz="4" w:space="0" w:color="auto"/>
              <w:left w:val="nil"/>
              <w:bottom w:val="single" w:sz="4" w:space="0" w:color="auto"/>
              <w:right w:val="nil"/>
            </w:tcBorders>
            <w:shd w:val="clear" w:color="auto" w:fill="FFFFFF"/>
          </w:tcPr>
          <w:p w:rsidR="00CF1981" w:rsidRDefault="00CF1981" w:rsidP="00BB71D6">
            <w:pPr>
              <w:wordWrap/>
              <w:adjustRightInd w:val="0"/>
              <w:spacing w:after="0" w:line="240" w:lineRule="auto"/>
              <w:rPr>
                <w:rFonts w:asciiTheme="majorBidi" w:hAnsiTheme="majorBidi" w:cstheme="majorBidi"/>
                <w:sz w:val="16"/>
                <w:szCs w:val="16"/>
              </w:rPr>
            </w:pPr>
          </w:p>
        </w:tc>
      </w:tr>
      <w:tr w:rsidR="00CF1981" w:rsidTr="00BB71D6">
        <w:trPr>
          <w:cantSplit/>
          <w:trHeight w:val="183"/>
        </w:trPr>
        <w:tc>
          <w:tcPr>
            <w:tcW w:w="5000" w:type="pct"/>
            <w:gridSpan w:val="8"/>
            <w:tcBorders>
              <w:top w:val="single" w:sz="4" w:space="0" w:color="auto"/>
              <w:left w:val="nil"/>
              <w:bottom w:val="single" w:sz="4" w:space="0" w:color="auto"/>
              <w:right w:val="nil"/>
            </w:tcBorders>
            <w:shd w:val="clear" w:color="auto" w:fill="FFFFFF"/>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 Correlation is significant at the 0.05 level (2-tailed).</w:t>
            </w:r>
          </w:p>
        </w:tc>
      </w:tr>
      <w:tr w:rsidR="00CF1981" w:rsidTr="00BB71D6">
        <w:trPr>
          <w:cantSplit/>
          <w:trHeight w:val="162"/>
        </w:trPr>
        <w:tc>
          <w:tcPr>
            <w:tcW w:w="5000" w:type="pct"/>
            <w:gridSpan w:val="8"/>
            <w:tcBorders>
              <w:top w:val="single" w:sz="4" w:space="0" w:color="auto"/>
              <w:left w:val="nil"/>
              <w:bottom w:val="single" w:sz="4" w:space="0" w:color="auto"/>
              <w:right w:val="nil"/>
            </w:tcBorders>
            <w:shd w:val="clear" w:color="auto" w:fill="FFFFFF"/>
          </w:tcPr>
          <w:p w:rsidR="00CF1981" w:rsidRDefault="00CF1981" w:rsidP="00BB71D6">
            <w:pPr>
              <w:wordWrap/>
              <w:adjustRightInd w:val="0"/>
              <w:spacing w:after="0" w:line="240" w:lineRule="auto"/>
              <w:ind w:left="60" w:right="60"/>
              <w:rPr>
                <w:rFonts w:asciiTheme="majorBidi" w:hAnsiTheme="majorBidi" w:cstheme="majorBidi"/>
                <w:sz w:val="16"/>
                <w:szCs w:val="16"/>
              </w:rPr>
            </w:pPr>
            <w:r>
              <w:rPr>
                <w:rFonts w:asciiTheme="majorBidi" w:hAnsiTheme="majorBidi" w:cstheme="majorBidi"/>
                <w:sz w:val="16"/>
                <w:szCs w:val="16"/>
              </w:rPr>
              <w:t>**. Correlation is significant at the 0.01 level (2-tailed).</w:t>
            </w:r>
          </w:p>
        </w:tc>
      </w:tr>
    </w:tbl>
    <w:p w:rsidR="00CF1981" w:rsidRDefault="00CF1981" w:rsidP="00CF1981">
      <w:pPr>
        <w:widowControl/>
        <w:wordWrap/>
        <w:autoSpaceDE/>
        <w:autoSpaceDN/>
        <w:spacing w:after="0" w:line="240" w:lineRule="auto"/>
        <w:rPr>
          <w:rFonts w:asciiTheme="majorBidi" w:eastAsia="HYSinMyeongJo-Medium" w:hAnsiTheme="majorBidi" w:cstheme="majorBidi"/>
          <w:b/>
          <w:kern w:val="0"/>
          <w:sz w:val="22"/>
          <w:shd w:val="clear" w:color="auto" w:fill="FFFFFF"/>
        </w:rPr>
        <w:sectPr w:rsidR="00CF1981">
          <w:pgSz w:w="11907" w:h="16839"/>
          <w:pgMar w:top="2880" w:right="2880" w:bottom="2160" w:left="2880" w:header="2448" w:footer="1872" w:gutter="0"/>
          <w:cols w:space="720"/>
          <w:docGrid w:linePitch="360"/>
        </w:sectPr>
      </w:pPr>
    </w:p>
    <w:p w:rsidR="00CF1981" w:rsidRDefault="00CF1981" w:rsidP="00CF1981">
      <w:pPr>
        <w:widowControl/>
        <w:wordWrap/>
        <w:autoSpaceDE/>
        <w:autoSpaceDN/>
        <w:spacing w:after="0" w:line="240" w:lineRule="auto"/>
        <w:rPr>
          <w:rFonts w:asciiTheme="majorBidi" w:eastAsia="HYSinMyeongJo-Medium" w:hAnsiTheme="majorBidi" w:cstheme="majorBidi"/>
          <w:bCs/>
          <w:i/>
          <w:iCs/>
          <w:kern w:val="0"/>
          <w:sz w:val="22"/>
          <w:shd w:val="clear" w:color="auto" w:fill="FFFFFF"/>
        </w:rPr>
      </w:pPr>
    </w:p>
    <w:p w:rsidR="00CF1981" w:rsidRDefault="00CF1981" w:rsidP="00CF1981">
      <w:pPr>
        <w:widowControl/>
        <w:wordWrap/>
        <w:autoSpaceDE/>
        <w:autoSpaceDN/>
        <w:spacing w:after="0" w:line="240" w:lineRule="auto"/>
        <w:rPr>
          <w:rFonts w:asciiTheme="majorBidi" w:eastAsia="HYSinMyeongJo-Medium" w:hAnsiTheme="majorBidi" w:cstheme="majorBidi"/>
          <w:bCs/>
          <w:i/>
          <w:iCs/>
          <w:kern w:val="0"/>
          <w:sz w:val="22"/>
          <w:shd w:val="clear" w:color="auto" w:fill="FFFFFF"/>
        </w:rPr>
      </w:pPr>
      <w:r>
        <w:rPr>
          <w:rFonts w:asciiTheme="majorBidi" w:eastAsia="HYSinMyeongJo-Medium" w:hAnsiTheme="majorBidi" w:cstheme="majorBidi"/>
          <w:bCs/>
          <w:i/>
          <w:iCs/>
          <w:kern w:val="0"/>
          <w:sz w:val="22"/>
          <w:shd w:val="clear" w:color="auto" w:fill="FFFFFF"/>
        </w:rPr>
        <w:t>Discussions</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 xml:space="preserve"> </w:t>
      </w:r>
      <w:r>
        <w:rPr>
          <w:rFonts w:asciiTheme="majorBidi" w:eastAsia="HYSinMyeongJo-Medium" w:hAnsiTheme="majorBidi" w:cstheme="majorBidi"/>
          <w:sz w:val="22"/>
          <w:shd w:val="clear" w:color="auto" w:fill="FFFFFF"/>
        </w:rPr>
        <w:tab/>
        <w:t xml:space="preserve">“Corruption tendencies in the project” was a critical causing factor in KP public university projects. The same has been proved and ranked as the peak-causing factor </w:t>
      </w:r>
      <w:r>
        <w:rPr>
          <w:rFonts w:asciiTheme="majorBidi" w:eastAsia="HYSinMyeongJo-Medium" w:hAnsiTheme="majorBidi" w:cstheme="majorBidi"/>
          <w:sz w:val="22"/>
          <w:shd w:val="clear" w:color="auto" w:fill="FFFFFF"/>
        </w:rPr>
        <w:fldChar w:fldCharType="begin"/>
      </w:r>
      <w:r>
        <w:rPr>
          <w:rFonts w:asciiTheme="majorBidi" w:eastAsia="HYSinMyeongJo-Medium" w:hAnsiTheme="majorBidi" w:cstheme="majorBidi"/>
          <w:sz w:val="22"/>
          <w:shd w:val="clear" w:color="auto" w:fill="FFFFFF"/>
        </w:rPr>
        <w:instrText xml:space="preserve"> ADDIN EN.CITE &lt;EndNote&gt;&lt;Cite&gt;&lt;Author&gt;Sweis&lt;/Author&gt;&lt;Year&gt;2008&lt;/Year&gt;&lt;RecNum&gt;57&lt;/RecNum&gt;&lt;DisplayText&gt;(Sweis, Sweis, Hammad, &amp;amp; Shboul, 2008)&lt;/DisplayText&gt;&lt;record&gt;&lt;rec-number&gt;57&lt;/rec-number&gt;&lt;foreign-keys&gt;&lt;key app="EN" db-id="vfxaxssab220zke05fbvp0atztvft95dwrpz" timestamp="1665198863"&gt;57&lt;/key&gt;&lt;/foreign-keys&gt;&lt;ref-type name="Journal Article"&gt;17&lt;/ref-type&gt;&lt;contributors&gt;&lt;authors&gt;&lt;author&gt;Sweis, Ghaleb&lt;/author&gt;&lt;author&gt;Sweis, R&lt;/author&gt;&lt;author&gt;Hammad, A Abu&lt;/author&gt;&lt;author&gt;Shboul, A&lt;/author&gt;&lt;/authors&gt;&lt;/contributors&gt;&lt;titles&gt;&lt;title&gt;Delays in construction projects: The case of Jordan&lt;/title&gt;&lt;secondary-title&gt;International Journal of project management&lt;/secondary-title&gt;&lt;/titles&gt;&lt;periodical&gt;&lt;full-title&gt;International journal of project management&lt;/full-title&gt;&lt;/periodical&gt;&lt;pages&gt;665-674&lt;/pages&gt;&lt;volume&gt;26&lt;/volume&gt;&lt;number&gt;6&lt;/number&gt;&lt;dates&gt;&lt;year&gt;2008&lt;/year&gt;&lt;/dates&gt;&lt;isbn&gt;0263-7863&lt;/isbn&gt;&lt;urls&gt;&lt;/urls&gt;&lt;/record&gt;&lt;/Cite&gt;&lt;/EndNote&gt;</w:instrText>
      </w:r>
      <w:r>
        <w:rPr>
          <w:rFonts w:asciiTheme="majorBidi" w:eastAsia="HYSinMyeongJo-Medium" w:hAnsiTheme="majorBidi" w:cstheme="majorBidi"/>
          <w:sz w:val="22"/>
          <w:shd w:val="clear" w:color="auto" w:fill="FFFFFF"/>
        </w:rPr>
        <w:fldChar w:fldCharType="separate"/>
      </w:r>
      <w:r>
        <w:rPr>
          <w:rFonts w:asciiTheme="majorBidi" w:eastAsia="HYSinMyeongJo-Medium" w:hAnsiTheme="majorBidi" w:cstheme="majorBidi"/>
          <w:sz w:val="22"/>
          <w:shd w:val="clear" w:color="auto" w:fill="FFFFFF"/>
        </w:rPr>
        <w:t>(</w:t>
      </w:r>
      <w:hyperlink w:anchor="_ENREF_20" w:tooltip="Sweis, 2008 #57" w:history="1">
        <w:r>
          <w:rPr>
            <w:rFonts w:asciiTheme="majorBidi" w:eastAsia="HYSinMyeongJo-Medium" w:hAnsiTheme="majorBidi" w:cstheme="majorBidi"/>
            <w:sz w:val="22"/>
            <w:shd w:val="clear" w:color="auto" w:fill="FFFFFF"/>
          </w:rPr>
          <w:t>Sweis et al., 2008</w:t>
        </w:r>
      </w:hyperlink>
      <w:r>
        <w:rPr>
          <w:rFonts w:asciiTheme="majorBidi" w:eastAsia="HYSinMyeongJo-Medium" w:hAnsiTheme="majorBidi" w:cstheme="majorBidi"/>
          <w:sz w:val="22"/>
          <w:shd w:val="clear" w:color="auto" w:fill="FFFFFF"/>
        </w:rPr>
        <w:t>)</w:t>
      </w:r>
      <w:r>
        <w:rPr>
          <w:rFonts w:asciiTheme="majorBidi" w:eastAsia="HYSinMyeongJo-Medium" w:hAnsiTheme="majorBidi" w:cstheme="majorBidi"/>
          <w:sz w:val="22"/>
          <w:shd w:val="clear" w:color="auto" w:fill="FFFFFF"/>
        </w:rPr>
        <w:fldChar w:fldCharType="end"/>
      </w:r>
      <w:r>
        <w:rPr>
          <w:rFonts w:asciiTheme="majorBidi" w:eastAsia="HYSinMyeongJo-Medium" w:hAnsiTheme="majorBidi" w:cstheme="majorBidi"/>
          <w:sz w:val="22"/>
          <w:shd w:val="clear" w:color="auto" w:fill="FFFFFF"/>
        </w:rPr>
        <w:t xml:space="preserve">.  Most of the projects were delayed due to high dishonesty inclinations due to public </w:t>
      </w:r>
      <w:r>
        <w:rPr>
          <w:rFonts w:asciiTheme="majorBidi" w:eastAsia="HYSinMyeongJo-Medium" w:hAnsiTheme="majorBidi" w:cstheme="majorBidi"/>
          <w:sz w:val="22"/>
          <w:shd w:val="clear" w:color="auto" w:fill="FFFFFF"/>
        </w:rPr>
        <w:lastRenderedPageBreak/>
        <w:t>university officials' monitoring system, and there are no regulations to penalize dishonest practices.</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The hiring of irrelevant PD is the second causing factor. Project Directors of public university projects lack communication and problem-solving abilities and management techniques. This is the government's concern to deploy the relevant PD for projects. The technical position allocated for incompetent staff is documented as a third important causing factor in KP public University. Furthermore, technical positions must be employed by experienced professionals. The causing factor complex administrating system of files is documented in the fourth position in the ranking.  In public university projects, the project staff lacks technical and skilled experience and does not have progressive electronic system-generated logs to sustain the filing process.</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The causing factor of PC-1 goals not matching the actual project is documented fifth position ranking. The study results determined that the consultant did not concentrate on the feasibility study before the project design. In most cases of ambiguity in PC-1, clashes between the department and contractor occur during the execution phase. Table 9 presents the top five causes of delays and corresponding remedial measures identified through the survey with experts in the relevant field. The survey included face-to-face interviews to identify and suggest remedial measures to counter the delaying factors in university construction projects. Table 9 elaborates on the remedial measures.</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widowControl/>
        <w:wordWrap/>
        <w:autoSpaceDE/>
        <w:autoSpaceDN/>
        <w:spacing w:after="0" w:line="240" w:lineRule="auto"/>
        <w:rPr>
          <w:rFonts w:asciiTheme="majorBidi" w:eastAsia="HYSinMyeongJo-Medium" w:hAnsiTheme="majorBidi" w:cstheme="majorBidi"/>
          <w:b/>
          <w:kern w:val="0"/>
          <w:sz w:val="22"/>
          <w:shd w:val="clear" w:color="auto" w:fill="FFFFFF"/>
        </w:rPr>
      </w:pPr>
      <w:r>
        <w:rPr>
          <w:rFonts w:asciiTheme="majorBidi" w:eastAsia="HYSinMyeongJo-Medium" w:hAnsiTheme="majorBidi" w:cstheme="majorBidi"/>
          <w:b/>
          <w:kern w:val="0"/>
          <w:sz w:val="22"/>
          <w:shd w:val="clear" w:color="auto" w:fill="FFFFFF"/>
        </w:rPr>
        <w:t>Conclusions</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The study determined the delaying factors in PSDP-funded public university projects in KP. A literature review and comprehensive one-to-one interviews with public-sector university infrastructure project experts were conducted. Through structured interviews, found a total of 67 delaying factors. The factors were tested and divided into six groups. The data were collected from 153 public sector institutions in KP Pakistan. The data were computed from different statistical tools and techniques. Based on the Cronbach Alpha, (α) data were reliable, accurate, and employed for further analysis. The RII values, delaying factors, and groups were then ranked. Important delaying factors were determined based on ranking results. Mean values were used to observe the impact of each factor and then calculated the standard deviation from the results. In the Correlation Matrix of the overall factors, the results showed that the connection of the selected variable exists as all the selected variables are interdependent. HEC-related causing factors closely connected with material and HEI, Consultant, Contractor, and External.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The study identified the best ways to identify and prioritize </w:t>
      </w:r>
      <w:r>
        <w:rPr>
          <w:rFonts w:asciiTheme="majorBidi" w:eastAsia="HYSinMyeongJo-Medium" w:hAnsiTheme="majorBidi" w:cstheme="majorBidi"/>
          <w:sz w:val="22"/>
          <w:shd w:val="clear" w:color="auto" w:fill="FFFFFF"/>
        </w:rPr>
        <w:lastRenderedPageBreak/>
        <w:t xml:space="preserve">the main reasons for delays in public-sector college infrastructure projects. Public sector institutions say that project corruption is the biggest reason for delays. The study also found that university administrations were the most significant cause of delays in public-sector university construction. It is worth noting that HEC has funded the KP public sector universities project, but there are inefficient planning and utilization of PSDP funds by the KP universities. The causing delays are hiring non-technical staff for a technical position, selecting an incompetent Project Director, the complex administrating system of files, and PC-1 goals not matching with the actual project.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b/>
          <w:kern w:val="0"/>
          <w:sz w:val="22"/>
          <w:shd w:val="clear" w:color="auto" w:fill="FFFFFF"/>
        </w:rPr>
      </w:pPr>
      <w:r>
        <w:rPr>
          <w:rFonts w:asciiTheme="majorBidi" w:eastAsia="HYSinMyeongJo-Medium" w:hAnsiTheme="majorBidi" w:cstheme="majorBidi"/>
          <w:b/>
          <w:kern w:val="0"/>
          <w:sz w:val="22"/>
          <w:shd w:val="clear" w:color="auto" w:fill="FFFFFF"/>
        </w:rPr>
        <w:t>Recommendations</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In public sector institutions of KP, the Federal Bureau of Revenue (FBR) department of the government of Pakistan properly monitors the financial status of institutions and senior officials of the public sector institutions. Before creating posts, the public sector institutions monitor the financial status of the posts and check the impact on the budget of the university projects. For any financial matter, make a Financial &amp; Planning Committee (F&amp;PC) to monitor post-creation properly.</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In continuing and promoting administration and project staff of the public sector institutions, we suggest they prepare the staff on the latest market demand and thoroughly judge the balance of satisfactory performances. The designer makes most public sector universities’ infrastructure project designs without visiting the actual project sites. The authors suggest they visit the project sites before properly designing and avoiding guesswork before bidding. It will reduce the variations in civil works and minimize the causes of delays during the execution phase. </w:t>
      </w: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p>
    <w:p w:rsidR="00CF1981" w:rsidRDefault="00CF1981" w:rsidP="00CF1981">
      <w:pPr>
        <w:pStyle w:val="TableofFigures"/>
        <w:tabs>
          <w:tab w:val="right" w:leader="dot" w:pos="9016"/>
        </w:tabs>
        <w:wordWrap/>
        <w:spacing w:line="240" w:lineRule="auto"/>
        <w:rPr>
          <w:rFonts w:asciiTheme="majorBidi" w:hAnsiTheme="majorBidi" w:cstheme="majorBidi"/>
          <w:b/>
          <w:bCs/>
          <w:i/>
          <w:iCs/>
          <w:sz w:val="18"/>
          <w:szCs w:val="18"/>
        </w:rPr>
      </w:pPr>
    </w:p>
    <w:p w:rsidR="00CF1981" w:rsidRDefault="00CF1981" w:rsidP="00CF1981">
      <w:pPr>
        <w:pStyle w:val="TableofFigures"/>
        <w:tabs>
          <w:tab w:val="right" w:leader="dot" w:pos="9016"/>
        </w:tabs>
        <w:wordWrap/>
        <w:spacing w:line="240" w:lineRule="auto"/>
        <w:rPr>
          <w:rFonts w:asciiTheme="majorBidi" w:hAnsiTheme="majorBidi" w:cstheme="majorBidi"/>
          <w:b/>
          <w:bCs/>
          <w:i/>
          <w:iCs/>
          <w:sz w:val="18"/>
          <w:szCs w:val="18"/>
        </w:rPr>
      </w:pPr>
      <w:r>
        <w:rPr>
          <w:rFonts w:asciiTheme="majorBidi" w:hAnsiTheme="majorBidi" w:cstheme="majorBidi"/>
          <w:b/>
          <w:bCs/>
          <w:i/>
          <w:iCs/>
          <w:sz w:val="18"/>
          <w:szCs w:val="18"/>
        </w:rPr>
        <w:t>Table 9</w:t>
      </w:r>
    </w:p>
    <w:p w:rsidR="00CF1981" w:rsidRDefault="00CF1981" w:rsidP="00CF1981">
      <w:pPr>
        <w:pStyle w:val="TableofFigures"/>
        <w:tabs>
          <w:tab w:val="right" w:leader="dot" w:pos="9016"/>
        </w:tabs>
        <w:wordWrap/>
        <w:spacing w:line="240" w:lineRule="auto"/>
        <w:rPr>
          <w:rFonts w:asciiTheme="majorBidi" w:hAnsiTheme="majorBidi" w:cstheme="majorBidi"/>
          <w:i/>
          <w:iCs/>
          <w:sz w:val="18"/>
          <w:szCs w:val="18"/>
        </w:rPr>
      </w:pPr>
      <w:r>
        <w:rPr>
          <w:rFonts w:asciiTheme="majorBidi" w:hAnsiTheme="majorBidi" w:cstheme="majorBidi"/>
          <w:i/>
          <w:iCs/>
          <w:sz w:val="18"/>
          <w:szCs w:val="18"/>
        </w:rPr>
        <w:t>Remedial Measures for the Top Causes of Delays</w:t>
      </w:r>
    </w:p>
    <w:tbl>
      <w:tblPr>
        <w:tblW w:w="5000" w:type="pct"/>
        <w:tblLook w:val="04A0" w:firstRow="1" w:lastRow="0" w:firstColumn="1" w:lastColumn="0" w:noHBand="0" w:noVBand="1"/>
      </w:tblPr>
      <w:tblGrid>
        <w:gridCol w:w="280"/>
        <w:gridCol w:w="965"/>
        <w:gridCol w:w="1022"/>
        <w:gridCol w:w="1051"/>
        <w:gridCol w:w="1037"/>
        <w:gridCol w:w="871"/>
        <w:gridCol w:w="921"/>
      </w:tblGrid>
      <w:tr w:rsidR="00CF1981" w:rsidTr="00BB71D6">
        <w:trPr>
          <w:trHeight w:val="318"/>
        </w:trPr>
        <w:tc>
          <w:tcPr>
            <w:tcW w:w="5000" w:type="pct"/>
            <w:gridSpan w:val="7"/>
            <w:tcBorders>
              <w:top w:val="single" w:sz="4" w:space="0" w:color="auto"/>
              <w:left w:val="nil"/>
              <w:bottom w:val="single" w:sz="4" w:space="0" w:color="auto"/>
              <w:right w:val="nil"/>
            </w:tcBorders>
            <w:noWrap/>
            <w:vAlign w:val="center"/>
          </w:tcPr>
          <w:p w:rsidR="00CF1981" w:rsidRDefault="00CF1981" w:rsidP="00BB71D6">
            <w:pPr>
              <w:keepNext/>
              <w:keepLines/>
              <w:wordWrap/>
              <w:spacing w:after="0" w:line="240" w:lineRule="auto"/>
              <w:jc w:val="center"/>
              <w:rPr>
                <w:rFonts w:asciiTheme="majorBidi" w:eastAsia="Times New Roman" w:hAnsiTheme="majorBidi" w:cstheme="majorBidi"/>
                <w:kern w:val="0"/>
                <w:sz w:val="16"/>
                <w:szCs w:val="16"/>
              </w:rPr>
            </w:pPr>
            <w:r>
              <w:rPr>
                <w:rFonts w:asciiTheme="majorBidi" w:eastAsia="Times New Roman" w:hAnsiTheme="majorBidi" w:cstheme="majorBidi"/>
                <w:sz w:val="16"/>
                <w:szCs w:val="16"/>
              </w:rPr>
              <w:lastRenderedPageBreak/>
              <w:t>Remedial Measures</w:t>
            </w:r>
          </w:p>
        </w:tc>
      </w:tr>
      <w:tr w:rsidR="00CF1981" w:rsidTr="00BB71D6">
        <w:trPr>
          <w:trHeight w:val="297"/>
        </w:trPr>
        <w:tc>
          <w:tcPr>
            <w:tcW w:w="960" w:type="pct"/>
            <w:gridSpan w:val="2"/>
            <w:tcBorders>
              <w:top w:val="single" w:sz="4" w:space="0" w:color="auto"/>
              <w:left w:val="nil"/>
              <w:bottom w:val="single" w:sz="4" w:space="0" w:color="auto"/>
              <w:right w:val="nil"/>
            </w:tcBorders>
            <w:noWrap/>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Delaying Factors</w:t>
            </w:r>
          </w:p>
        </w:tc>
        <w:tc>
          <w:tcPr>
            <w:tcW w:w="756" w:type="pct"/>
            <w:tcBorders>
              <w:top w:val="single" w:sz="4" w:space="0" w:color="auto"/>
              <w:left w:val="nil"/>
              <w:bottom w:val="single" w:sz="4" w:space="0" w:color="auto"/>
              <w:right w:val="nil"/>
            </w:tcBorders>
            <w:noWrap/>
            <w:vAlign w:val="center"/>
          </w:tcPr>
          <w:p w:rsidR="00CF1981" w:rsidRDefault="00CF1981" w:rsidP="00BB71D6">
            <w:pPr>
              <w:keepNext/>
              <w:keepLines/>
              <w:wordWrap/>
              <w:spacing w:after="0" w:line="240" w:lineRule="auto"/>
              <w:jc w:val="center"/>
              <w:rPr>
                <w:rFonts w:asciiTheme="majorBidi" w:eastAsia="Times New Roman" w:hAnsiTheme="majorBidi" w:cstheme="majorBidi"/>
                <w:sz w:val="16"/>
                <w:szCs w:val="16"/>
              </w:rPr>
            </w:pPr>
            <w:r>
              <w:rPr>
                <w:rFonts w:asciiTheme="majorBidi" w:eastAsia="Times New Roman" w:hAnsiTheme="majorBidi" w:cstheme="majorBidi"/>
                <w:sz w:val="16"/>
                <w:szCs w:val="16"/>
              </w:rPr>
              <w:t>1</w:t>
            </w:r>
          </w:p>
        </w:tc>
        <w:tc>
          <w:tcPr>
            <w:tcW w:w="859" w:type="pct"/>
            <w:tcBorders>
              <w:top w:val="single" w:sz="4" w:space="0" w:color="auto"/>
              <w:left w:val="nil"/>
              <w:bottom w:val="single" w:sz="4" w:space="0" w:color="auto"/>
              <w:right w:val="nil"/>
            </w:tcBorders>
            <w:noWrap/>
            <w:vAlign w:val="center"/>
          </w:tcPr>
          <w:p w:rsidR="00CF1981" w:rsidRDefault="00CF1981" w:rsidP="00BB71D6">
            <w:pPr>
              <w:keepNext/>
              <w:keepLines/>
              <w:wordWrap/>
              <w:spacing w:after="0" w:line="240" w:lineRule="auto"/>
              <w:jc w:val="center"/>
              <w:rPr>
                <w:rFonts w:asciiTheme="majorBidi" w:eastAsia="Times New Roman" w:hAnsiTheme="majorBidi" w:cstheme="majorBidi"/>
                <w:sz w:val="16"/>
                <w:szCs w:val="16"/>
              </w:rPr>
            </w:pPr>
            <w:r>
              <w:rPr>
                <w:rFonts w:asciiTheme="majorBidi" w:eastAsia="Times New Roman" w:hAnsiTheme="majorBidi" w:cstheme="majorBidi"/>
                <w:sz w:val="16"/>
                <w:szCs w:val="16"/>
              </w:rPr>
              <w:t>2</w:t>
            </w:r>
          </w:p>
        </w:tc>
        <w:tc>
          <w:tcPr>
            <w:tcW w:w="758" w:type="pct"/>
            <w:tcBorders>
              <w:top w:val="single" w:sz="4" w:space="0" w:color="auto"/>
              <w:left w:val="nil"/>
              <w:bottom w:val="single" w:sz="4" w:space="0" w:color="auto"/>
              <w:right w:val="nil"/>
            </w:tcBorders>
            <w:noWrap/>
            <w:vAlign w:val="center"/>
          </w:tcPr>
          <w:p w:rsidR="00CF1981" w:rsidRDefault="00CF1981" w:rsidP="00BB71D6">
            <w:pPr>
              <w:keepNext/>
              <w:keepLines/>
              <w:wordWrap/>
              <w:spacing w:after="0" w:line="240" w:lineRule="auto"/>
              <w:jc w:val="center"/>
              <w:rPr>
                <w:rFonts w:asciiTheme="majorBidi" w:eastAsia="Times New Roman" w:hAnsiTheme="majorBidi" w:cstheme="majorBidi"/>
                <w:sz w:val="16"/>
                <w:szCs w:val="16"/>
              </w:rPr>
            </w:pPr>
            <w:r>
              <w:rPr>
                <w:rFonts w:asciiTheme="majorBidi" w:eastAsia="Times New Roman" w:hAnsiTheme="majorBidi" w:cstheme="majorBidi"/>
                <w:sz w:val="16"/>
                <w:szCs w:val="16"/>
              </w:rPr>
              <w:t>3</w:t>
            </w:r>
          </w:p>
        </w:tc>
        <w:tc>
          <w:tcPr>
            <w:tcW w:w="960" w:type="pct"/>
            <w:tcBorders>
              <w:top w:val="single" w:sz="4" w:space="0" w:color="auto"/>
              <w:left w:val="nil"/>
              <w:bottom w:val="single" w:sz="4" w:space="0" w:color="auto"/>
              <w:right w:val="nil"/>
            </w:tcBorders>
            <w:noWrap/>
            <w:vAlign w:val="center"/>
          </w:tcPr>
          <w:p w:rsidR="00CF1981" w:rsidRDefault="00CF1981" w:rsidP="00BB71D6">
            <w:pPr>
              <w:keepNext/>
              <w:keepLines/>
              <w:wordWrap/>
              <w:spacing w:after="0" w:line="240" w:lineRule="auto"/>
              <w:jc w:val="center"/>
              <w:rPr>
                <w:rFonts w:asciiTheme="majorBidi" w:eastAsia="Times New Roman" w:hAnsiTheme="majorBidi" w:cstheme="majorBidi"/>
                <w:sz w:val="16"/>
                <w:szCs w:val="16"/>
              </w:rPr>
            </w:pPr>
            <w:r>
              <w:rPr>
                <w:rFonts w:asciiTheme="majorBidi" w:eastAsia="Times New Roman" w:hAnsiTheme="majorBidi" w:cstheme="majorBidi"/>
                <w:sz w:val="16"/>
                <w:szCs w:val="16"/>
              </w:rPr>
              <w:t>4</w:t>
            </w:r>
          </w:p>
        </w:tc>
        <w:tc>
          <w:tcPr>
            <w:tcW w:w="709" w:type="pct"/>
            <w:tcBorders>
              <w:top w:val="single" w:sz="4" w:space="0" w:color="auto"/>
              <w:left w:val="nil"/>
              <w:bottom w:val="single" w:sz="4" w:space="0" w:color="auto"/>
              <w:right w:val="nil"/>
            </w:tcBorders>
            <w:noWrap/>
            <w:vAlign w:val="center"/>
          </w:tcPr>
          <w:p w:rsidR="00CF1981" w:rsidRDefault="00CF1981" w:rsidP="00BB71D6">
            <w:pPr>
              <w:keepNext/>
              <w:keepLines/>
              <w:wordWrap/>
              <w:spacing w:after="0" w:line="240" w:lineRule="auto"/>
              <w:jc w:val="center"/>
              <w:rPr>
                <w:rFonts w:asciiTheme="majorBidi" w:eastAsia="Times New Roman" w:hAnsiTheme="majorBidi" w:cstheme="majorBidi"/>
                <w:sz w:val="16"/>
                <w:szCs w:val="16"/>
              </w:rPr>
            </w:pPr>
            <w:r>
              <w:rPr>
                <w:rFonts w:asciiTheme="majorBidi" w:eastAsia="Times New Roman" w:hAnsiTheme="majorBidi" w:cstheme="majorBidi"/>
                <w:sz w:val="16"/>
                <w:szCs w:val="16"/>
              </w:rPr>
              <w:t>5</w:t>
            </w:r>
          </w:p>
        </w:tc>
      </w:tr>
      <w:tr w:rsidR="00CF1981" w:rsidTr="00BB71D6">
        <w:trPr>
          <w:trHeight w:val="1223"/>
        </w:trPr>
        <w:tc>
          <w:tcPr>
            <w:tcW w:w="250" w:type="pct"/>
            <w:tcBorders>
              <w:top w:val="single" w:sz="4" w:space="0" w:color="auto"/>
              <w:left w:val="nil"/>
              <w:bottom w:val="single" w:sz="4" w:space="0" w:color="auto"/>
              <w:right w:val="nil"/>
            </w:tcBorders>
            <w:shd w:val="clear" w:color="auto" w:fill="FFFFFF"/>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1</w:t>
            </w:r>
          </w:p>
        </w:tc>
        <w:tc>
          <w:tcPr>
            <w:tcW w:w="710"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6"/>
                <w:szCs w:val="16"/>
              </w:rPr>
            </w:pPr>
            <w:r>
              <w:rPr>
                <w:rFonts w:asciiTheme="majorBidi" w:eastAsia="LM Roman 12" w:hAnsiTheme="majorBidi" w:cstheme="majorBidi"/>
                <w:sz w:val="16"/>
                <w:szCs w:val="16"/>
              </w:rPr>
              <w:t>Dishonesty in projects</w:t>
            </w:r>
          </w:p>
        </w:tc>
        <w:tc>
          <w:tcPr>
            <w:tcW w:w="756"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Encourage transparency and access to evidence</w:t>
            </w:r>
          </w:p>
        </w:tc>
        <w:tc>
          <w:tcPr>
            <w:tcW w:w="859"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Frequent monitoring of senior officials of the department</w:t>
            </w:r>
          </w:p>
        </w:tc>
        <w:tc>
          <w:tcPr>
            <w:tcW w:w="758"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Break the corrupt practices and cycle of exemption</w:t>
            </w:r>
          </w:p>
        </w:tc>
        <w:tc>
          <w:tcPr>
            <w:tcW w:w="960"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Prevent the budget information and dishonesty of resources</w:t>
            </w:r>
          </w:p>
        </w:tc>
        <w:tc>
          <w:tcPr>
            <w:tcW w:w="709"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 xml:space="preserve">Educating role of auditing agencies for financial strengthening </w:t>
            </w:r>
          </w:p>
        </w:tc>
      </w:tr>
      <w:tr w:rsidR="00CF1981" w:rsidTr="00BB71D6">
        <w:trPr>
          <w:trHeight w:val="1295"/>
        </w:trPr>
        <w:tc>
          <w:tcPr>
            <w:tcW w:w="250" w:type="pct"/>
            <w:tcBorders>
              <w:top w:val="single" w:sz="4" w:space="0" w:color="auto"/>
              <w:left w:val="nil"/>
              <w:bottom w:val="single" w:sz="4" w:space="0" w:color="auto"/>
              <w:right w:val="nil"/>
            </w:tcBorders>
            <w:shd w:val="clear" w:color="auto" w:fill="FFFFFF"/>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2</w:t>
            </w:r>
          </w:p>
        </w:tc>
        <w:tc>
          <w:tcPr>
            <w:tcW w:w="710" w:type="pct"/>
            <w:tcBorders>
              <w:top w:val="single" w:sz="4" w:space="0" w:color="auto"/>
              <w:left w:val="nil"/>
              <w:bottom w:val="single" w:sz="4" w:space="0" w:color="auto"/>
              <w:right w:val="nil"/>
            </w:tcBorders>
            <w:shd w:val="clear" w:color="auto" w:fill="FFFFFF"/>
            <w:vAlign w:val="center"/>
          </w:tcPr>
          <w:p w:rsidR="00CF1981" w:rsidRDefault="00CF1981" w:rsidP="00BB71D6">
            <w:pPr>
              <w:wordWrap/>
              <w:spacing w:after="0" w:line="240" w:lineRule="auto"/>
              <w:rPr>
                <w:rFonts w:asciiTheme="majorBidi" w:eastAsia="Times New Roman" w:hAnsiTheme="majorBidi" w:cstheme="majorBidi"/>
                <w:sz w:val="16"/>
                <w:szCs w:val="16"/>
              </w:rPr>
            </w:pPr>
            <w:r>
              <w:rPr>
                <w:rFonts w:asciiTheme="majorBidi" w:eastAsia="LM Roman 12" w:hAnsiTheme="majorBidi" w:cstheme="majorBidi"/>
                <w:sz w:val="16"/>
                <w:szCs w:val="16"/>
              </w:rPr>
              <w:t>The hiring of an irrelevant PD</w:t>
            </w:r>
          </w:p>
        </w:tc>
        <w:tc>
          <w:tcPr>
            <w:tcW w:w="756"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Well communication and problems resolving skills</w:t>
            </w:r>
          </w:p>
        </w:tc>
        <w:tc>
          <w:tcPr>
            <w:tcW w:w="859"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 xml:space="preserve">Administration responsibility to deploy pertinent PD </w:t>
            </w:r>
          </w:p>
        </w:tc>
        <w:tc>
          <w:tcPr>
            <w:tcW w:w="758"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Team building, and leadership services</w:t>
            </w:r>
          </w:p>
        </w:tc>
        <w:tc>
          <w:tcPr>
            <w:tcW w:w="960"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Quick decisions power/skills</w:t>
            </w:r>
          </w:p>
        </w:tc>
        <w:tc>
          <w:tcPr>
            <w:tcW w:w="709"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Integrity and project management skills</w:t>
            </w:r>
          </w:p>
        </w:tc>
      </w:tr>
      <w:tr w:rsidR="00CF1981" w:rsidTr="00BB71D6">
        <w:trPr>
          <w:trHeight w:val="1195"/>
        </w:trPr>
        <w:tc>
          <w:tcPr>
            <w:tcW w:w="250" w:type="pct"/>
            <w:tcBorders>
              <w:top w:val="single" w:sz="4" w:space="0" w:color="auto"/>
              <w:left w:val="nil"/>
              <w:bottom w:val="single" w:sz="4" w:space="0" w:color="auto"/>
              <w:right w:val="nil"/>
            </w:tcBorders>
            <w:shd w:val="clear" w:color="auto" w:fill="FFFFFF"/>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3</w:t>
            </w:r>
          </w:p>
        </w:tc>
        <w:tc>
          <w:tcPr>
            <w:tcW w:w="710" w:type="pct"/>
            <w:tcBorders>
              <w:top w:val="single" w:sz="4" w:space="0" w:color="auto"/>
              <w:left w:val="nil"/>
              <w:bottom w:val="single" w:sz="4" w:space="0" w:color="auto"/>
              <w:right w:val="nil"/>
            </w:tcBorders>
            <w:shd w:val="clear" w:color="auto" w:fill="FFFFFF"/>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hAnsiTheme="majorBidi" w:cstheme="majorBidi"/>
                <w:sz w:val="16"/>
                <w:szCs w:val="16"/>
              </w:rPr>
              <w:t>T</w:t>
            </w:r>
            <w:r>
              <w:rPr>
                <w:rFonts w:asciiTheme="majorBidi" w:eastAsia="LM Roman 12" w:hAnsiTheme="majorBidi" w:cstheme="majorBidi"/>
                <w:sz w:val="16"/>
                <w:szCs w:val="16"/>
              </w:rPr>
              <w:t>echnical position allocated for incompetent staff</w:t>
            </w:r>
          </w:p>
        </w:tc>
        <w:tc>
          <w:tcPr>
            <w:tcW w:w="756"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Hiring with sound knowledge and expertise in filing</w:t>
            </w:r>
          </w:p>
        </w:tc>
        <w:tc>
          <w:tcPr>
            <w:tcW w:w="859"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Communication and writing skills for coordination</w:t>
            </w:r>
          </w:p>
        </w:tc>
        <w:tc>
          <w:tcPr>
            <w:tcW w:w="758"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Seminars arranged for the latest market demand</w:t>
            </w:r>
          </w:p>
        </w:tc>
        <w:tc>
          <w:tcPr>
            <w:tcW w:w="960"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Office for proper coordination with concerned stakeholders</w:t>
            </w:r>
          </w:p>
        </w:tc>
        <w:tc>
          <w:tcPr>
            <w:tcW w:w="709"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Promotion based on a reasonable concert</w:t>
            </w:r>
          </w:p>
        </w:tc>
      </w:tr>
      <w:tr w:rsidR="00CF1981" w:rsidTr="00BB71D6">
        <w:trPr>
          <w:trHeight w:val="1192"/>
        </w:trPr>
        <w:tc>
          <w:tcPr>
            <w:tcW w:w="250" w:type="pct"/>
            <w:tcBorders>
              <w:top w:val="single" w:sz="4" w:space="0" w:color="auto"/>
              <w:left w:val="nil"/>
              <w:bottom w:val="single" w:sz="4" w:space="0" w:color="auto"/>
              <w:right w:val="nil"/>
            </w:tcBorders>
            <w:shd w:val="clear" w:color="auto" w:fill="FFFFFF"/>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4</w:t>
            </w:r>
          </w:p>
        </w:tc>
        <w:tc>
          <w:tcPr>
            <w:tcW w:w="710" w:type="pct"/>
            <w:tcBorders>
              <w:top w:val="single" w:sz="4" w:space="0" w:color="auto"/>
              <w:left w:val="nil"/>
              <w:bottom w:val="single" w:sz="4" w:space="0" w:color="auto"/>
              <w:right w:val="nil"/>
            </w:tcBorders>
            <w:shd w:val="clear" w:color="auto" w:fill="FFFFFF"/>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hAnsiTheme="majorBidi" w:cstheme="majorBidi"/>
                <w:sz w:val="16"/>
                <w:szCs w:val="16"/>
              </w:rPr>
              <w:t>C</w:t>
            </w:r>
            <w:r>
              <w:rPr>
                <w:rFonts w:asciiTheme="majorBidi" w:eastAsia="LM Roman 12" w:hAnsiTheme="majorBidi" w:cstheme="majorBidi"/>
                <w:sz w:val="16"/>
                <w:szCs w:val="16"/>
              </w:rPr>
              <w:t>omplex administrating system of file</w:t>
            </w:r>
          </w:p>
        </w:tc>
        <w:tc>
          <w:tcPr>
            <w:tcW w:w="756"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 xml:space="preserve">Instructions and meeting minutes must be in timely communicated </w:t>
            </w:r>
          </w:p>
        </w:tc>
        <w:tc>
          <w:tcPr>
            <w:tcW w:w="859"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Authorized head allocated to avoid the tail neck at the PD</w:t>
            </w:r>
          </w:p>
        </w:tc>
        <w:tc>
          <w:tcPr>
            <w:tcW w:w="758"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 xml:space="preserve">Electronic tracking and system-generated logs </w:t>
            </w:r>
          </w:p>
        </w:tc>
        <w:tc>
          <w:tcPr>
            <w:tcW w:w="960"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For the record, maintenance establish a record room</w:t>
            </w:r>
          </w:p>
        </w:tc>
        <w:tc>
          <w:tcPr>
            <w:tcW w:w="709"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Designated office for dispatched</w:t>
            </w:r>
          </w:p>
        </w:tc>
      </w:tr>
      <w:tr w:rsidR="00CF1981" w:rsidTr="00BB71D6">
        <w:trPr>
          <w:trHeight w:val="943"/>
        </w:trPr>
        <w:tc>
          <w:tcPr>
            <w:tcW w:w="250" w:type="pct"/>
            <w:tcBorders>
              <w:top w:val="single" w:sz="4" w:space="0" w:color="auto"/>
              <w:left w:val="nil"/>
              <w:bottom w:val="single" w:sz="4" w:space="0" w:color="auto"/>
              <w:right w:val="nil"/>
            </w:tcBorders>
            <w:shd w:val="clear" w:color="auto" w:fill="FFFFFF"/>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5</w:t>
            </w:r>
          </w:p>
        </w:tc>
        <w:tc>
          <w:tcPr>
            <w:tcW w:w="710" w:type="pct"/>
            <w:tcBorders>
              <w:top w:val="single" w:sz="4" w:space="0" w:color="auto"/>
              <w:left w:val="nil"/>
              <w:bottom w:val="single" w:sz="4" w:space="0" w:color="auto"/>
              <w:right w:val="nil"/>
            </w:tcBorders>
            <w:shd w:val="clear" w:color="auto" w:fill="FFFFFF"/>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LM Roman 12" w:hAnsiTheme="majorBidi" w:cstheme="majorBidi"/>
                <w:sz w:val="16"/>
                <w:szCs w:val="16"/>
              </w:rPr>
              <w:t>PC-1 goals not matching with the real projects</w:t>
            </w:r>
          </w:p>
        </w:tc>
        <w:tc>
          <w:tcPr>
            <w:tcW w:w="756"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 xml:space="preserve">PC-1 goals and objectives are practicable  </w:t>
            </w:r>
          </w:p>
        </w:tc>
        <w:tc>
          <w:tcPr>
            <w:tcW w:w="859"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Accurate cost and risk investigation</w:t>
            </w:r>
          </w:p>
        </w:tc>
        <w:tc>
          <w:tcPr>
            <w:tcW w:w="758"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Comprehension tasks formed in PC-1</w:t>
            </w:r>
          </w:p>
        </w:tc>
        <w:tc>
          <w:tcPr>
            <w:tcW w:w="960"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PC-1 must be equipped by specialists</w:t>
            </w:r>
          </w:p>
        </w:tc>
        <w:tc>
          <w:tcPr>
            <w:tcW w:w="709" w:type="pct"/>
            <w:tcBorders>
              <w:top w:val="single" w:sz="4" w:space="0" w:color="auto"/>
              <w:left w:val="nil"/>
              <w:bottom w:val="single" w:sz="4" w:space="0" w:color="auto"/>
              <w:right w:val="nil"/>
            </w:tcBorders>
            <w:vAlign w:val="center"/>
          </w:tcPr>
          <w:p w:rsidR="00CF1981" w:rsidRDefault="00CF1981" w:rsidP="00BB71D6">
            <w:pPr>
              <w:keepNext/>
              <w:keepLines/>
              <w:wordWrap/>
              <w:spacing w:after="0" w:line="240" w:lineRule="auto"/>
              <w:rPr>
                <w:rFonts w:asciiTheme="majorBidi" w:eastAsia="Times New Roman" w:hAnsiTheme="majorBidi" w:cstheme="majorBidi"/>
                <w:sz w:val="16"/>
                <w:szCs w:val="16"/>
              </w:rPr>
            </w:pPr>
            <w:r>
              <w:rPr>
                <w:rFonts w:asciiTheme="majorBidi" w:eastAsia="Times New Roman" w:hAnsiTheme="majorBidi" w:cstheme="majorBidi"/>
                <w:sz w:val="16"/>
                <w:szCs w:val="16"/>
              </w:rPr>
              <w:t>The probability report should be precise</w:t>
            </w:r>
          </w:p>
        </w:tc>
      </w:tr>
    </w:tbl>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18"/>
          <w:szCs w:val="18"/>
          <w:shd w:val="clear" w:color="auto" w:fill="FFFFFF"/>
        </w:rPr>
      </w:pPr>
    </w:p>
    <w:p w:rsidR="00CF1981" w:rsidRDefault="00CF1981" w:rsidP="00CF1981">
      <w:p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b/>
        <w:t xml:space="preserve">Most public sector university projects in KP do not include proper planning for timely work completion, appropriate construction methods, and scheduling projects. They construct the projects using their traditional way, and many mistakes occur during the project's construction phase, which causes a severe delay. The public sector institutions of KP should follow the strict rules for dispatch and office records of correspondence with contractors and consultants. Installing proper tracking and system-generated logs throughout the institutions will also be suggested. The following are the recommendations for the public sector University of Khyber Pakhtunkhwa. </w:t>
      </w:r>
    </w:p>
    <w:p w:rsidR="00CF1981" w:rsidRDefault="00CF1981" w:rsidP="00CF1981">
      <w:pPr>
        <w:pStyle w:val="ListParagraph"/>
        <w:numPr>
          <w:ilvl w:val="0"/>
          <w:numId w:val="4"/>
        </w:num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To reduce corruption in Pakistan, the government should improve the role of the audit agencies, and it is essential to punish dishonest practices and break down the set of exemptions.</w:t>
      </w:r>
    </w:p>
    <w:p w:rsidR="00CF1981" w:rsidRDefault="00CF1981" w:rsidP="00CF1981">
      <w:pPr>
        <w:pStyle w:val="ListParagraph"/>
        <w:numPr>
          <w:ilvl w:val="0"/>
          <w:numId w:val="4"/>
        </w:num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 xml:space="preserve">The appointment shall be grounded on sound knowledge, and </w:t>
      </w:r>
      <w:r>
        <w:rPr>
          <w:rFonts w:asciiTheme="majorBidi" w:eastAsia="HYSinMyeongJo-Medium" w:hAnsiTheme="majorBidi" w:cstheme="majorBidi"/>
          <w:sz w:val="22"/>
          <w:shd w:val="clear" w:color="auto" w:fill="FFFFFF"/>
        </w:rPr>
        <w:lastRenderedPageBreak/>
        <w:t>this will be the responsibility of the government to create relevant posts for the suitable person.</w:t>
      </w:r>
    </w:p>
    <w:p w:rsidR="00CF1981" w:rsidRDefault="00CF1981" w:rsidP="00CF1981">
      <w:pPr>
        <w:pStyle w:val="ListParagraph"/>
        <w:numPr>
          <w:ilvl w:val="0"/>
          <w:numId w:val="4"/>
        </w:num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The public university management should organize sessions for information on the up-to-date market request and confirm the employee’s promotion based on adequate performance.</w:t>
      </w:r>
    </w:p>
    <w:p w:rsidR="00CF1981" w:rsidRDefault="00CF1981" w:rsidP="00CF1981">
      <w:pPr>
        <w:pStyle w:val="ListParagraph"/>
        <w:numPr>
          <w:ilvl w:val="0"/>
          <w:numId w:val="4"/>
        </w:num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The instructions and meeting should be opportune and communicated both in printed and oral, and a section head should be assigned to avoid the tailback up to the PD.</w:t>
      </w:r>
    </w:p>
    <w:p w:rsidR="00CF1981" w:rsidRDefault="00CF1981" w:rsidP="00CF1981">
      <w:pPr>
        <w:pStyle w:val="ListParagraph"/>
        <w:numPr>
          <w:ilvl w:val="0"/>
          <w:numId w:val="4"/>
        </w:numPr>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textAlignment w:val="baseline"/>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A nominated office for communication and other correspondence, advanced tracking, and electronic logs should be installed for timely completion.</w:t>
      </w:r>
    </w:p>
    <w:p w:rsidR="00CF1981" w:rsidRDefault="00CF1981" w:rsidP="00CF1981">
      <w:pPr>
        <w:pStyle w:val="ListParagraph"/>
        <w:shd w:val="clear" w:color="auto" w:fill="FFFFFF"/>
        <w:tabs>
          <w:tab w:val="left" w:pos="-26042"/>
          <w:tab w:val="left" w:pos="-25190"/>
          <w:tab w:val="left" w:pos="-24340"/>
          <w:tab w:val="left" w:pos="-23488"/>
          <w:tab w:val="left" w:pos="-22636"/>
          <w:tab w:val="left" w:pos="-21786"/>
          <w:tab w:val="left" w:pos="-20934"/>
          <w:tab w:val="left" w:pos="-20084"/>
          <w:tab w:val="left" w:pos="-19232"/>
          <w:tab w:val="left" w:pos="852"/>
          <w:tab w:val="left" w:pos="1702"/>
          <w:tab w:val="left" w:pos="2554"/>
          <w:tab w:val="left" w:pos="3404"/>
          <w:tab w:val="left" w:pos="4256"/>
          <w:tab w:val="left" w:pos="5108"/>
          <w:tab w:val="left" w:pos="5958"/>
          <w:tab w:val="left" w:pos="6810"/>
          <w:tab w:val="left" w:pos="7660"/>
          <w:tab w:val="left" w:pos="8512"/>
          <w:tab w:val="left" w:pos="9364"/>
          <w:tab w:val="left" w:pos="10214"/>
          <w:tab w:val="left" w:pos="11066"/>
          <w:tab w:val="left" w:pos="11916"/>
          <w:tab w:val="left" w:pos="12768"/>
          <w:tab w:val="left" w:pos="13620"/>
          <w:tab w:val="left" w:pos="14470"/>
          <w:tab w:val="left" w:pos="15322"/>
          <w:tab w:val="left" w:pos="16172"/>
          <w:tab w:val="left" w:pos="17024"/>
          <w:tab w:val="left" w:pos="17876"/>
          <w:tab w:val="left" w:pos="18726"/>
          <w:tab w:val="left" w:pos="19578"/>
          <w:tab w:val="left" w:pos="20428"/>
          <w:tab w:val="left" w:pos="21280"/>
          <w:tab w:val="left" w:pos="22132"/>
          <w:tab w:val="left" w:pos="22982"/>
          <w:tab w:val="left" w:pos="23834"/>
          <w:tab w:val="left" w:pos="24684"/>
          <w:tab w:val="left" w:pos="25536"/>
        </w:tabs>
        <w:wordWrap/>
        <w:snapToGrid w:val="0"/>
        <w:spacing w:after="0" w:line="240" w:lineRule="auto"/>
        <w:ind w:left="0"/>
        <w:textAlignment w:val="baseline"/>
        <w:rPr>
          <w:rFonts w:asciiTheme="majorBidi" w:eastAsia="HYSinMyeongJo-Medium" w:hAnsiTheme="majorBidi" w:cstheme="majorBidi"/>
          <w:sz w:val="22"/>
          <w:shd w:val="clear" w:color="auto" w:fill="FFFFFF"/>
        </w:rPr>
      </w:pPr>
    </w:p>
    <w:p w:rsidR="00CF1981" w:rsidRDefault="00CF1981" w:rsidP="00CF1981">
      <w:pPr>
        <w:widowControl/>
        <w:wordWrap/>
        <w:autoSpaceDE/>
        <w:autoSpaceDN/>
        <w:spacing w:after="0" w:line="240" w:lineRule="auto"/>
        <w:rPr>
          <w:rFonts w:asciiTheme="majorBidi" w:eastAsia="HYSinMyeongJo-Medium" w:hAnsiTheme="majorBidi" w:cstheme="majorBidi"/>
          <w:b/>
          <w:kern w:val="0"/>
          <w:sz w:val="22"/>
          <w:shd w:val="clear" w:color="auto" w:fill="FFFFFF"/>
        </w:rPr>
      </w:pPr>
      <w:r>
        <w:rPr>
          <w:rFonts w:asciiTheme="majorBidi" w:eastAsia="HYSinMyeongJo-Medium" w:hAnsiTheme="majorBidi" w:cstheme="majorBidi"/>
          <w:b/>
          <w:kern w:val="0"/>
          <w:sz w:val="22"/>
          <w:shd w:val="clear" w:color="auto" w:fill="FFFFFF"/>
        </w:rPr>
        <w:t xml:space="preserve">Declaration of Competing Interest </w:t>
      </w:r>
    </w:p>
    <w:p w:rsidR="00CF1981" w:rsidRDefault="00CF1981" w:rsidP="00CF1981">
      <w:pPr>
        <w:widowControl/>
        <w:wordWrap/>
        <w:autoSpaceDE/>
        <w:autoSpaceDN/>
        <w:spacing w:after="0" w:line="240" w:lineRule="auto"/>
        <w:ind w:firstLine="720"/>
        <w:rPr>
          <w:rFonts w:asciiTheme="majorBidi" w:eastAsia="HYSinMyeongJo-Medium" w:hAnsiTheme="majorBidi" w:cstheme="majorBidi"/>
          <w:bCs/>
          <w:kern w:val="0"/>
          <w:sz w:val="22"/>
          <w:shd w:val="clear" w:color="auto" w:fill="FFFFFF"/>
        </w:rPr>
      </w:pPr>
      <w:r>
        <w:rPr>
          <w:rFonts w:asciiTheme="majorBidi" w:eastAsia="HYSinMyeongJo-Medium" w:hAnsiTheme="majorBidi" w:cstheme="majorBidi"/>
          <w:bCs/>
          <w:kern w:val="0"/>
          <w:sz w:val="22"/>
          <w:shd w:val="clear" w:color="auto" w:fill="FFFFFF"/>
        </w:rPr>
        <w:t xml:space="preserve">The authors would like that they have no known competing financial interests or personal relationships that could have appeared to influence the work reported in this paper. </w:t>
      </w:r>
    </w:p>
    <w:p w:rsidR="00CF1981" w:rsidRDefault="00CF1981" w:rsidP="00CF1981">
      <w:pPr>
        <w:widowControl/>
        <w:wordWrap/>
        <w:autoSpaceDE/>
        <w:autoSpaceDN/>
        <w:spacing w:after="0" w:line="240" w:lineRule="auto"/>
        <w:ind w:firstLine="720"/>
        <w:rPr>
          <w:rFonts w:asciiTheme="majorBidi" w:eastAsia="HYSinMyeongJo-Medium" w:hAnsiTheme="majorBidi" w:cstheme="majorBidi"/>
          <w:bCs/>
          <w:kern w:val="0"/>
          <w:sz w:val="22"/>
          <w:shd w:val="clear" w:color="auto" w:fill="FFFFFF"/>
        </w:rPr>
      </w:pPr>
    </w:p>
    <w:p w:rsidR="00CF1981" w:rsidRDefault="00CF1981" w:rsidP="00CF1981">
      <w:pPr>
        <w:widowControl/>
        <w:wordWrap/>
        <w:autoSpaceDE/>
        <w:autoSpaceDN/>
        <w:spacing w:after="0" w:line="240" w:lineRule="auto"/>
        <w:rPr>
          <w:rFonts w:asciiTheme="majorBidi" w:eastAsia="HYSinMyeongJo-Medium" w:hAnsiTheme="majorBidi" w:cstheme="majorBidi"/>
          <w:b/>
          <w:kern w:val="0"/>
          <w:sz w:val="22"/>
          <w:shd w:val="clear" w:color="auto" w:fill="FFFFFF"/>
        </w:rPr>
      </w:pPr>
      <w:r>
        <w:rPr>
          <w:rFonts w:asciiTheme="majorBidi" w:eastAsia="HYSinMyeongJo-Medium" w:hAnsiTheme="majorBidi" w:cstheme="majorBidi"/>
          <w:b/>
          <w:kern w:val="0"/>
          <w:sz w:val="22"/>
          <w:shd w:val="clear" w:color="auto" w:fill="FFFFFF"/>
        </w:rPr>
        <w:t>Acknowledgment</w:t>
      </w:r>
    </w:p>
    <w:p w:rsidR="00CF1981" w:rsidRDefault="00CF1981" w:rsidP="00CF1981">
      <w:pPr>
        <w:wordWrap/>
        <w:spacing w:after="0" w:line="240" w:lineRule="auto"/>
        <w:ind w:firstLine="720"/>
        <w:rPr>
          <w:rFonts w:asciiTheme="majorBidi" w:eastAsia="HYSinMyeongJo-Medium" w:hAnsiTheme="majorBidi" w:cstheme="majorBidi"/>
          <w:sz w:val="22"/>
          <w:shd w:val="clear" w:color="auto" w:fill="FFFFFF"/>
        </w:rPr>
      </w:pPr>
      <w:r>
        <w:rPr>
          <w:rFonts w:asciiTheme="majorBidi" w:eastAsia="HYSinMyeongJo-Medium" w:hAnsiTheme="majorBidi" w:cstheme="majorBidi"/>
          <w:sz w:val="22"/>
          <w:shd w:val="clear" w:color="auto" w:fill="FFFFFF"/>
        </w:rPr>
        <w:t>The authors would like to thank all the Public Sector Universities experts in KP under the Higher Education Department (HED) for their great help and support in the data collection and questionnaire. In addition, we would also like to thank the editor for his valuable comments and suggestions, as well as all the reviewers.</w:t>
      </w:r>
    </w:p>
    <w:p w:rsidR="00CF1981" w:rsidRDefault="00CF1981" w:rsidP="00CF1981">
      <w:pPr>
        <w:wordWrap/>
        <w:spacing w:after="0" w:line="240" w:lineRule="auto"/>
        <w:ind w:firstLine="720"/>
        <w:rPr>
          <w:rFonts w:asciiTheme="majorBidi" w:hAnsiTheme="majorBidi" w:cstheme="majorBidi"/>
          <w:b/>
          <w:sz w:val="22"/>
        </w:rPr>
      </w:pPr>
    </w:p>
    <w:p w:rsidR="00CF1981" w:rsidRDefault="00CF1981" w:rsidP="00CF1981">
      <w:pPr>
        <w:widowControl/>
        <w:wordWrap/>
        <w:autoSpaceDE/>
        <w:autoSpaceDN/>
        <w:spacing w:after="0" w:line="240" w:lineRule="auto"/>
        <w:rPr>
          <w:rFonts w:asciiTheme="majorBidi" w:eastAsia="HYSinMyeongJo-Medium" w:hAnsiTheme="majorBidi" w:cstheme="majorBidi"/>
          <w:b/>
          <w:kern w:val="0"/>
          <w:sz w:val="22"/>
          <w:shd w:val="clear" w:color="auto" w:fill="FFFFFF"/>
        </w:rPr>
      </w:pPr>
      <w:r>
        <w:rPr>
          <w:rFonts w:asciiTheme="majorBidi" w:eastAsia="HYSinMyeongJo-Medium" w:hAnsiTheme="majorBidi" w:cstheme="majorBidi"/>
          <w:b/>
          <w:kern w:val="0"/>
          <w:sz w:val="22"/>
          <w:shd w:val="clear" w:color="auto" w:fill="FFFFFF"/>
        </w:rPr>
        <w:t>Conflicts of Interest</w:t>
      </w:r>
    </w:p>
    <w:p w:rsidR="00CF1981" w:rsidRDefault="00CF1981" w:rsidP="00CF1981">
      <w:pPr>
        <w:widowControl/>
        <w:wordWrap/>
        <w:autoSpaceDE/>
        <w:autoSpaceDN/>
        <w:spacing w:after="0" w:line="240" w:lineRule="auto"/>
        <w:rPr>
          <w:rFonts w:asciiTheme="majorBidi" w:eastAsia="HYSinMyeongJo-Medium" w:hAnsiTheme="majorBidi" w:cstheme="majorBidi"/>
          <w:b/>
          <w:kern w:val="0"/>
          <w:sz w:val="22"/>
          <w:shd w:val="clear" w:color="auto" w:fill="FFFFFF"/>
        </w:rPr>
      </w:pPr>
      <w:r>
        <w:rPr>
          <w:rFonts w:asciiTheme="majorBidi" w:hAnsiTheme="majorBidi" w:cstheme="majorBidi"/>
          <w:sz w:val="22"/>
        </w:rPr>
        <w:t xml:space="preserve"> </w:t>
      </w:r>
      <w:r>
        <w:rPr>
          <w:rFonts w:asciiTheme="majorBidi" w:hAnsiTheme="majorBidi" w:cstheme="majorBidi"/>
          <w:sz w:val="22"/>
        </w:rPr>
        <w:tab/>
      </w:r>
      <w:r>
        <w:rPr>
          <w:rFonts w:asciiTheme="majorBidi" w:eastAsia="HYSinMyeongJo-Medium" w:hAnsiTheme="majorBidi" w:cstheme="majorBidi"/>
          <w:sz w:val="22"/>
          <w:shd w:val="clear" w:color="auto" w:fill="FFFFFF"/>
        </w:rPr>
        <w:t>The authors declare that there is no conflict of interest.</w:t>
      </w:r>
      <w:r>
        <w:rPr>
          <w:rFonts w:asciiTheme="majorBidi" w:eastAsia="HYSinMyeongJo-Medium" w:hAnsiTheme="majorBidi" w:cstheme="majorBidi"/>
          <w:b/>
          <w:kern w:val="0"/>
          <w:sz w:val="22"/>
          <w:shd w:val="clear" w:color="auto" w:fill="FFFFFF"/>
        </w:rPr>
        <w:t xml:space="preserve"> </w:t>
      </w:r>
    </w:p>
    <w:p w:rsidR="00CF1981" w:rsidRDefault="00CF1981" w:rsidP="00CF1981">
      <w:pPr>
        <w:wordWrap/>
        <w:spacing w:after="0" w:line="240" w:lineRule="auto"/>
        <w:rPr>
          <w:rFonts w:asciiTheme="majorBidi" w:hAnsiTheme="majorBidi" w:cstheme="majorBidi"/>
          <w:b/>
          <w:bCs/>
          <w:iCs/>
          <w:sz w:val="22"/>
        </w:rPr>
      </w:pPr>
    </w:p>
    <w:p w:rsidR="00CF1981" w:rsidRDefault="00CF1981" w:rsidP="00CF1981">
      <w:pPr>
        <w:wordWrap/>
        <w:spacing w:after="0" w:line="240" w:lineRule="auto"/>
        <w:rPr>
          <w:rFonts w:asciiTheme="majorBidi" w:hAnsiTheme="majorBidi" w:cstheme="majorBidi"/>
          <w:b/>
          <w:bCs/>
          <w:iCs/>
          <w:sz w:val="22"/>
        </w:rPr>
      </w:pPr>
      <w:r>
        <w:rPr>
          <w:rFonts w:asciiTheme="majorBidi" w:hAnsiTheme="majorBidi" w:cstheme="majorBidi"/>
          <w:b/>
          <w:bCs/>
          <w:iCs/>
          <w:sz w:val="22"/>
        </w:rPr>
        <w:t>References</w:t>
      </w:r>
    </w:p>
    <w:p w:rsidR="00CF1981" w:rsidRDefault="00CF1981" w:rsidP="00CF1981">
      <w:pPr>
        <w:pStyle w:val="EndNoteBibliography"/>
        <w:ind w:left="720" w:hanging="720"/>
        <w:jc w:val="both"/>
        <w:rPr>
          <w:rFonts w:asciiTheme="majorBidi" w:hAnsiTheme="majorBidi" w:cstheme="majorBidi"/>
          <w:i/>
          <w:iCs/>
          <w:sz w:val="22"/>
        </w:rPr>
      </w:pPr>
      <w:r>
        <w:rPr>
          <w:rFonts w:asciiTheme="majorBidi" w:hAnsiTheme="majorBidi" w:cstheme="majorBidi"/>
          <w:iCs/>
          <w:sz w:val="22"/>
        </w:rPr>
        <w:fldChar w:fldCharType="begin"/>
      </w:r>
      <w:r>
        <w:rPr>
          <w:rFonts w:asciiTheme="majorBidi" w:hAnsiTheme="majorBidi" w:cstheme="majorBidi"/>
          <w:iCs/>
          <w:sz w:val="22"/>
        </w:rPr>
        <w:instrText xml:space="preserve"> ADDIN EN.REFLIST </w:instrText>
      </w:r>
      <w:r>
        <w:rPr>
          <w:rFonts w:asciiTheme="majorBidi" w:hAnsiTheme="majorBidi" w:cstheme="majorBidi"/>
          <w:iCs/>
          <w:sz w:val="22"/>
        </w:rPr>
        <w:fldChar w:fldCharType="separate"/>
      </w:r>
      <w:bookmarkStart w:id="5" w:name="_ENREF_1"/>
      <w:r>
        <w:rPr>
          <w:rFonts w:asciiTheme="majorBidi" w:hAnsiTheme="majorBidi" w:cstheme="majorBidi"/>
          <w:sz w:val="22"/>
        </w:rPr>
        <w:t>Abdul Rahman, I., Memon, A. H., &amp; Abd Karim, A. T. (2013)</w:t>
      </w:r>
      <w:r>
        <w:rPr>
          <w:rFonts w:asciiTheme="majorBidi" w:hAnsiTheme="majorBidi" w:cstheme="majorBidi"/>
          <w:i/>
          <w:iCs/>
          <w:sz w:val="22"/>
        </w:rPr>
        <w:t>. Significant factors causing cost overruns in large construction projects in Malaysia.</w:t>
      </w:r>
      <w:r>
        <w:rPr>
          <w:rFonts w:asciiTheme="majorBidi" w:hAnsiTheme="majorBidi" w:cstheme="majorBidi"/>
          <w:sz w:val="22"/>
        </w:rPr>
        <w:t xml:space="preserve"> Journal of Applied Science,</w:t>
      </w:r>
      <w:r>
        <w:rPr>
          <w:rFonts w:asciiTheme="majorBidi" w:hAnsiTheme="majorBidi" w:cstheme="majorBidi"/>
          <w:i/>
          <w:iCs/>
          <w:sz w:val="22"/>
        </w:rPr>
        <w:t xml:space="preserve"> 13(2), 286-293. </w:t>
      </w:r>
      <w:bookmarkEnd w:id="5"/>
    </w:p>
    <w:p w:rsidR="00CF1981" w:rsidRDefault="00CF1981" w:rsidP="00CF1981">
      <w:pPr>
        <w:pStyle w:val="EndNoteBibliography"/>
        <w:ind w:left="720" w:hanging="720"/>
        <w:jc w:val="both"/>
        <w:rPr>
          <w:rFonts w:asciiTheme="majorBidi" w:hAnsiTheme="majorBidi" w:cstheme="majorBidi"/>
          <w:sz w:val="22"/>
        </w:rPr>
      </w:pPr>
      <w:bookmarkStart w:id="6" w:name="_ENREF_2"/>
      <w:r>
        <w:rPr>
          <w:rFonts w:asciiTheme="majorBidi" w:hAnsiTheme="majorBidi" w:cstheme="majorBidi"/>
          <w:sz w:val="22"/>
        </w:rPr>
        <w:t xml:space="preserve">Aibinu, A.A., &amp; Jagboro, G.O. (2002). </w:t>
      </w:r>
      <w:r>
        <w:rPr>
          <w:rFonts w:asciiTheme="majorBidi" w:hAnsiTheme="majorBidi" w:cstheme="majorBidi"/>
          <w:i/>
          <w:iCs/>
          <w:sz w:val="22"/>
        </w:rPr>
        <w:t>The effects of construction delays on project delivery in Nigerian construction industry.</w:t>
      </w:r>
      <w:r>
        <w:rPr>
          <w:rFonts w:asciiTheme="majorBidi" w:hAnsiTheme="majorBidi" w:cstheme="majorBidi"/>
          <w:sz w:val="22"/>
        </w:rPr>
        <w:t xml:space="preserve"> </w:t>
      </w:r>
      <w:r>
        <w:rPr>
          <w:rFonts w:asciiTheme="majorBidi" w:hAnsiTheme="majorBidi" w:cstheme="majorBidi"/>
          <w:iCs/>
          <w:sz w:val="22"/>
        </w:rPr>
        <w:t>International journal of project management,</w:t>
      </w:r>
      <w:r>
        <w:rPr>
          <w:rFonts w:asciiTheme="majorBidi" w:hAnsiTheme="majorBidi" w:cstheme="majorBidi"/>
          <w:i/>
          <w:sz w:val="22"/>
        </w:rPr>
        <w:t xml:space="preserve"> 20</w:t>
      </w:r>
      <w:r>
        <w:rPr>
          <w:rFonts w:asciiTheme="majorBidi" w:hAnsiTheme="majorBidi" w:cstheme="majorBidi"/>
          <w:sz w:val="22"/>
        </w:rPr>
        <w:t xml:space="preserve">(8), 593-599. </w:t>
      </w:r>
      <w:bookmarkEnd w:id="6"/>
    </w:p>
    <w:p w:rsidR="00CF1981" w:rsidRDefault="00CF1981" w:rsidP="00CF1981">
      <w:pPr>
        <w:pStyle w:val="EndNoteBibliography"/>
        <w:ind w:left="720" w:hanging="720"/>
        <w:jc w:val="both"/>
        <w:rPr>
          <w:rFonts w:asciiTheme="majorBidi" w:hAnsiTheme="majorBidi" w:cstheme="majorBidi"/>
          <w:sz w:val="22"/>
        </w:rPr>
      </w:pPr>
      <w:bookmarkStart w:id="7" w:name="_ENREF_3"/>
      <w:r>
        <w:rPr>
          <w:rFonts w:asciiTheme="majorBidi" w:hAnsiTheme="majorBidi" w:cstheme="majorBidi"/>
          <w:sz w:val="22"/>
        </w:rPr>
        <w:t xml:space="preserve">Ali, M., Iqbal, S., &amp; Iqbal, Q. (2020). </w:t>
      </w:r>
      <w:r>
        <w:rPr>
          <w:rFonts w:asciiTheme="majorBidi" w:hAnsiTheme="majorBidi" w:cstheme="majorBidi"/>
          <w:i/>
          <w:iCs/>
          <w:sz w:val="22"/>
        </w:rPr>
        <w:t>Causes of Delay in the Establishment of Public Sector University in Newly Merged District’s of KP, Pakistan.</w:t>
      </w:r>
      <w:r>
        <w:rPr>
          <w:rFonts w:asciiTheme="majorBidi" w:hAnsiTheme="majorBidi" w:cstheme="majorBidi"/>
          <w:sz w:val="22"/>
        </w:rPr>
        <w:t xml:space="preserve"> </w:t>
      </w:r>
      <w:r>
        <w:rPr>
          <w:rFonts w:asciiTheme="majorBidi" w:hAnsiTheme="majorBidi" w:cstheme="majorBidi"/>
          <w:iCs/>
          <w:sz w:val="22"/>
        </w:rPr>
        <w:t>International Journal of Engineering Works</w:t>
      </w:r>
      <w:r>
        <w:rPr>
          <w:rFonts w:asciiTheme="majorBidi" w:hAnsiTheme="majorBidi" w:cstheme="majorBidi"/>
          <w:i/>
          <w:sz w:val="22"/>
        </w:rPr>
        <w:t>, 7</w:t>
      </w:r>
      <w:r>
        <w:rPr>
          <w:rFonts w:asciiTheme="majorBidi" w:hAnsiTheme="majorBidi" w:cstheme="majorBidi"/>
          <w:sz w:val="22"/>
        </w:rPr>
        <w:t xml:space="preserve">(05), 221-227. </w:t>
      </w:r>
      <w:bookmarkEnd w:id="7"/>
    </w:p>
    <w:p w:rsidR="00CF1981" w:rsidRDefault="00CF1981" w:rsidP="00CF1981">
      <w:pPr>
        <w:pStyle w:val="EndNoteBibliography"/>
        <w:ind w:left="720" w:hanging="720"/>
        <w:jc w:val="both"/>
        <w:rPr>
          <w:rFonts w:asciiTheme="majorBidi" w:hAnsiTheme="majorBidi" w:cstheme="majorBidi"/>
          <w:sz w:val="22"/>
        </w:rPr>
      </w:pPr>
      <w:bookmarkStart w:id="8" w:name="_ENREF_4"/>
      <w:r>
        <w:rPr>
          <w:rFonts w:asciiTheme="majorBidi" w:hAnsiTheme="majorBidi" w:cstheme="majorBidi"/>
          <w:sz w:val="22"/>
        </w:rPr>
        <w:t xml:space="preserve">Assaf, S. A., &amp; Al-Hejji, S. (2006). </w:t>
      </w:r>
      <w:r>
        <w:rPr>
          <w:rFonts w:asciiTheme="majorBidi" w:hAnsiTheme="majorBidi" w:cstheme="majorBidi"/>
          <w:i/>
          <w:iCs/>
          <w:sz w:val="22"/>
        </w:rPr>
        <w:t xml:space="preserve">Causes of delay in large construction projects. </w:t>
      </w:r>
      <w:r>
        <w:rPr>
          <w:rFonts w:asciiTheme="majorBidi" w:hAnsiTheme="majorBidi" w:cstheme="majorBidi"/>
          <w:iCs/>
          <w:sz w:val="22"/>
        </w:rPr>
        <w:t xml:space="preserve">International journal of project management, </w:t>
      </w:r>
      <w:r>
        <w:rPr>
          <w:rFonts w:asciiTheme="majorBidi" w:hAnsiTheme="majorBidi" w:cstheme="majorBidi"/>
          <w:i/>
          <w:sz w:val="22"/>
        </w:rPr>
        <w:t>24</w:t>
      </w:r>
      <w:r>
        <w:rPr>
          <w:rFonts w:asciiTheme="majorBidi" w:hAnsiTheme="majorBidi" w:cstheme="majorBidi"/>
          <w:sz w:val="22"/>
        </w:rPr>
        <w:t xml:space="preserve">(4), 349-357. </w:t>
      </w:r>
      <w:bookmarkEnd w:id="8"/>
    </w:p>
    <w:p w:rsidR="00CF1981" w:rsidRDefault="00CF1981" w:rsidP="00CF1981">
      <w:pPr>
        <w:pStyle w:val="EndNoteBibliography"/>
        <w:ind w:left="720" w:hanging="720"/>
        <w:jc w:val="both"/>
        <w:rPr>
          <w:rFonts w:asciiTheme="majorBidi" w:eastAsia="SimSun" w:hAnsiTheme="majorBidi" w:cstheme="majorBidi"/>
          <w:sz w:val="22"/>
          <w:lang w:eastAsia="zh-CN" w:bidi="ar"/>
        </w:rPr>
      </w:pPr>
      <w:r>
        <w:rPr>
          <w:rFonts w:asciiTheme="majorBidi" w:hAnsiTheme="majorBidi" w:cstheme="majorBidi"/>
          <w:sz w:val="22"/>
          <w:lang w:eastAsia="zh-CN"/>
        </w:rPr>
        <w:t xml:space="preserve">Ali, Z., Ahmad, I., &amp; Hussain, Z. (2020). </w:t>
      </w:r>
      <w:r>
        <w:rPr>
          <w:rFonts w:asciiTheme="majorBidi" w:hAnsiTheme="majorBidi" w:cstheme="majorBidi"/>
          <w:i/>
          <w:iCs/>
          <w:sz w:val="22"/>
          <w:lang w:eastAsia="zh-CN"/>
        </w:rPr>
        <w:t xml:space="preserve">Analysis of Critical Causes of Transaction Cost Escalation in Public Sector Construction Projects. </w:t>
      </w:r>
      <w:r>
        <w:rPr>
          <w:rFonts w:asciiTheme="majorBidi" w:eastAsia="SimSun" w:hAnsiTheme="majorBidi" w:cstheme="majorBidi"/>
          <w:sz w:val="22"/>
          <w:lang w:eastAsia="zh-CN" w:bidi="ar"/>
        </w:rPr>
        <w:t xml:space="preserve">Pakistan Journal of Commerce and Social Sciences. </w:t>
      </w:r>
      <w:r>
        <w:rPr>
          <w:rFonts w:asciiTheme="majorBidi" w:eastAsia="SimSun" w:hAnsiTheme="majorBidi" w:cstheme="majorBidi"/>
          <w:sz w:val="22"/>
          <w:lang w:eastAsia="zh-CN" w:bidi="ar"/>
        </w:rPr>
        <w:lastRenderedPageBreak/>
        <w:t xml:space="preserve">Vol. 14 (4), 838-865. </w:t>
      </w:r>
    </w:p>
    <w:p w:rsidR="00CF1981" w:rsidRDefault="00CF1981" w:rsidP="00CF1981">
      <w:pPr>
        <w:widowControl/>
        <w:wordWrap/>
        <w:spacing w:after="0" w:line="240" w:lineRule="auto"/>
        <w:ind w:left="770" w:hangingChars="350" w:hanging="770"/>
        <w:jc w:val="left"/>
        <w:rPr>
          <w:rFonts w:asciiTheme="majorBidi" w:hAnsiTheme="majorBidi" w:cstheme="majorBidi"/>
          <w:sz w:val="22"/>
          <w:lang w:eastAsia="zh-CN"/>
        </w:rPr>
      </w:pPr>
      <w:r>
        <w:rPr>
          <w:rFonts w:asciiTheme="majorBidi" w:hAnsiTheme="majorBidi" w:cstheme="majorBidi"/>
          <w:i/>
          <w:iCs/>
          <w:sz w:val="22"/>
        </w:rPr>
        <w:t xml:space="preserve">Ahmad, R., &amp; Mohamand, N.A. (2014). </w:t>
      </w:r>
      <w:r>
        <w:rPr>
          <w:rFonts w:asciiTheme="majorBidi" w:hAnsiTheme="majorBidi" w:cstheme="majorBidi"/>
          <w:i/>
          <w:iCs/>
          <w:sz w:val="22"/>
          <w:lang w:eastAsia="zh-CN"/>
        </w:rPr>
        <w:t xml:space="preserve">Performance Of Projects In Public Sector Of Pakistan: Developing A Framework For Future Challenges. </w:t>
      </w:r>
      <w:r>
        <w:rPr>
          <w:rFonts w:asciiTheme="majorBidi" w:eastAsia="Times-Roman" w:hAnsiTheme="majorBidi" w:cstheme="majorBidi"/>
          <w:kern w:val="0"/>
          <w:sz w:val="22"/>
          <w:lang w:eastAsia="zh-CN" w:bidi="ar"/>
        </w:rPr>
        <w:t>Serbian Project Management Journal, 4(1).</w:t>
      </w:r>
      <w:r>
        <w:rPr>
          <w:rFonts w:asciiTheme="majorBidi" w:eastAsia="Times-Roman" w:hAnsiTheme="majorBidi" w:cstheme="majorBidi"/>
          <w:kern w:val="0"/>
          <w:sz w:val="19"/>
          <w:szCs w:val="19"/>
          <w:lang w:eastAsia="zh-CN" w:bidi="ar"/>
        </w:rPr>
        <w:t xml:space="preserve"> </w:t>
      </w:r>
    </w:p>
    <w:p w:rsidR="00CF1981" w:rsidRDefault="00CF1981" w:rsidP="00CF1981">
      <w:pPr>
        <w:pStyle w:val="EndNoteBibliography"/>
        <w:ind w:left="720" w:hanging="720"/>
        <w:jc w:val="both"/>
        <w:rPr>
          <w:rFonts w:asciiTheme="majorBidi" w:eastAsia="SimSun" w:hAnsiTheme="majorBidi" w:cstheme="majorBidi"/>
          <w:sz w:val="22"/>
          <w:lang w:eastAsia="zh-CN" w:bidi="ar"/>
        </w:rPr>
      </w:pPr>
      <w:r>
        <w:rPr>
          <w:rFonts w:asciiTheme="majorBidi" w:hAnsiTheme="majorBidi" w:cstheme="majorBidi"/>
          <w:sz w:val="22"/>
          <w:lang w:eastAsia="zh-CN"/>
        </w:rPr>
        <w:t>Akram, M., Memon, N.A., Stoain, M., Iqbal, U., Shabeer, H.K. (2015).</w:t>
      </w:r>
      <w:r>
        <w:rPr>
          <w:rFonts w:asciiTheme="majorBidi" w:hAnsiTheme="majorBidi" w:cstheme="majorBidi"/>
          <w:i/>
          <w:iCs/>
          <w:sz w:val="22"/>
          <w:lang w:eastAsia="zh-CN"/>
        </w:rPr>
        <w:t xml:space="preserve"> Time Overrun in Public Sector Construction Projects of Developing Countries: Case Study of Pakistan. </w:t>
      </w:r>
      <w:r>
        <w:rPr>
          <w:rFonts w:asciiTheme="majorBidi" w:hAnsiTheme="majorBidi" w:cstheme="majorBidi"/>
          <w:sz w:val="22"/>
          <w:lang w:eastAsia="zh-CN"/>
        </w:rPr>
        <w:t>Conference paper.</w:t>
      </w:r>
      <w:r>
        <w:rPr>
          <w:rFonts w:asciiTheme="majorBidi" w:hAnsiTheme="majorBidi" w:cstheme="majorBidi"/>
          <w:i/>
          <w:iCs/>
          <w:sz w:val="22"/>
          <w:lang w:eastAsia="zh-CN"/>
        </w:rPr>
        <w:t xml:space="preserve"> </w:t>
      </w:r>
    </w:p>
    <w:p w:rsidR="00CF1981" w:rsidRDefault="00CF1981" w:rsidP="00CF1981">
      <w:pPr>
        <w:pStyle w:val="EndNoteBibliography"/>
        <w:ind w:left="720" w:hanging="720"/>
        <w:jc w:val="both"/>
        <w:rPr>
          <w:rFonts w:asciiTheme="majorBidi" w:hAnsiTheme="majorBidi" w:cstheme="majorBidi"/>
          <w:sz w:val="22"/>
        </w:rPr>
      </w:pPr>
      <w:bookmarkStart w:id="9" w:name="_ENREF_5"/>
      <w:r>
        <w:rPr>
          <w:rFonts w:asciiTheme="majorBidi" w:hAnsiTheme="majorBidi" w:cstheme="majorBidi"/>
          <w:sz w:val="22"/>
        </w:rPr>
        <w:t xml:space="preserve">Cronbach, L. J. (1951). Coefficient alpha and the internal structure of tests. </w:t>
      </w:r>
      <w:r>
        <w:rPr>
          <w:rFonts w:asciiTheme="majorBidi" w:hAnsiTheme="majorBidi" w:cstheme="majorBidi"/>
          <w:i/>
          <w:sz w:val="22"/>
        </w:rPr>
        <w:t>psychometrika, 16</w:t>
      </w:r>
      <w:r>
        <w:rPr>
          <w:rFonts w:asciiTheme="majorBidi" w:hAnsiTheme="majorBidi" w:cstheme="majorBidi"/>
          <w:sz w:val="22"/>
        </w:rPr>
        <w:t xml:space="preserve">(3), 297-334. </w:t>
      </w:r>
      <w:bookmarkEnd w:id="9"/>
    </w:p>
    <w:p w:rsidR="00CF1981" w:rsidRDefault="00CF1981" w:rsidP="00CF1981">
      <w:pPr>
        <w:pStyle w:val="EndNoteBibliography"/>
        <w:ind w:left="720" w:hanging="720"/>
        <w:jc w:val="both"/>
        <w:rPr>
          <w:rFonts w:asciiTheme="majorBidi" w:hAnsiTheme="majorBidi" w:cstheme="majorBidi"/>
          <w:sz w:val="22"/>
        </w:rPr>
      </w:pPr>
      <w:bookmarkStart w:id="10" w:name="_ENREF_6"/>
      <w:r>
        <w:rPr>
          <w:rFonts w:asciiTheme="majorBidi" w:hAnsiTheme="majorBidi" w:cstheme="majorBidi"/>
          <w:sz w:val="22"/>
        </w:rPr>
        <w:t xml:space="preserve">Doloi, H., Sawhney, A., Iyer, K.C., &amp; Rentala, S. (2012). </w:t>
      </w:r>
      <w:r>
        <w:rPr>
          <w:rFonts w:asciiTheme="majorBidi" w:hAnsiTheme="majorBidi" w:cstheme="majorBidi"/>
          <w:i/>
          <w:iCs/>
          <w:sz w:val="22"/>
        </w:rPr>
        <w:t>Analysing factors affecting delays in Indian construction projects</w:t>
      </w:r>
      <w:r>
        <w:rPr>
          <w:rFonts w:asciiTheme="majorBidi" w:hAnsiTheme="majorBidi" w:cstheme="majorBidi"/>
          <w:sz w:val="22"/>
        </w:rPr>
        <w:t xml:space="preserve">. </w:t>
      </w:r>
      <w:r>
        <w:rPr>
          <w:rFonts w:asciiTheme="majorBidi" w:hAnsiTheme="majorBidi" w:cstheme="majorBidi"/>
          <w:iCs/>
          <w:sz w:val="22"/>
        </w:rPr>
        <w:t>International journal of project management,</w:t>
      </w:r>
      <w:r>
        <w:rPr>
          <w:rFonts w:asciiTheme="majorBidi" w:hAnsiTheme="majorBidi" w:cstheme="majorBidi"/>
          <w:i/>
          <w:sz w:val="22"/>
        </w:rPr>
        <w:t xml:space="preserve"> 30</w:t>
      </w:r>
      <w:r>
        <w:rPr>
          <w:rFonts w:asciiTheme="majorBidi" w:hAnsiTheme="majorBidi" w:cstheme="majorBidi"/>
          <w:sz w:val="22"/>
        </w:rPr>
        <w:t xml:space="preserve">(4), 479-489. </w:t>
      </w:r>
      <w:bookmarkEnd w:id="10"/>
    </w:p>
    <w:p w:rsidR="00CF1981" w:rsidRDefault="00CF1981" w:rsidP="00CF1981">
      <w:pPr>
        <w:pStyle w:val="EndNoteBibliography"/>
        <w:ind w:left="720" w:hanging="720"/>
        <w:jc w:val="both"/>
        <w:rPr>
          <w:rFonts w:asciiTheme="majorBidi" w:hAnsiTheme="majorBidi" w:cstheme="majorBidi"/>
          <w:sz w:val="22"/>
        </w:rPr>
      </w:pPr>
      <w:bookmarkStart w:id="11" w:name="_ENREF_7"/>
      <w:r>
        <w:rPr>
          <w:rFonts w:asciiTheme="majorBidi" w:hAnsiTheme="majorBidi" w:cstheme="majorBidi"/>
          <w:sz w:val="22"/>
        </w:rPr>
        <w:t>Frimpong, Y., Oluwoye, J., &amp; Crawford, L. (2003).</w:t>
      </w:r>
      <w:r>
        <w:rPr>
          <w:rFonts w:asciiTheme="majorBidi" w:hAnsiTheme="majorBidi" w:cstheme="majorBidi"/>
          <w:i/>
          <w:iCs/>
          <w:sz w:val="22"/>
        </w:rPr>
        <w:t xml:space="preserve"> Causes of delay and cost overruns in construction of groundwater projects in a developing countries; Ghana as a case study.</w:t>
      </w:r>
      <w:r>
        <w:rPr>
          <w:rFonts w:asciiTheme="majorBidi" w:hAnsiTheme="majorBidi" w:cstheme="majorBidi"/>
          <w:sz w:val="22"/>
        </w:rPr>
        <w:t xml:space="preserve"> </w:t>
      </w:r>
      <w:r>
        <w:rPr>
          <w:rFonts w:asciiTheme="majorBidi" w:hAnsiTheme="majorBidi" w:cstheme="majorBidi"/>
          <w:iCs/>
          <w:sz w:val="22"/>
        </w:rPr>
        <w:t xml:space="preserve">International journal of project management, </w:t>
      </w:r>
      <w:r>
        <w:rPr>
          <w:rFonts w:asciiTheme="majorBidi" w:hAnsiTheme="majorBidi" w:cstheme="majorBidi"/>
          <w:i/>
          <w:sz w:val="22"/>
        </w:rPr>
        <w:t>21</w:t>
      </w:r>
      <w:r>
        <w:rPr>
          <w:rFonts w:asciiTheme="majorBidi" w:hAnsiTheme="majorBidi" w:cstheme="majorBidi"/>
          <w:sz w:val="22"/>
        </w:rPr>
        <w:t xml:space="preserve">(5), 321-326. </w:t>
      </w:r>
      <w:bookmarkEnd w:id="11"/>
    </w:p>
    <w:p w:rsidR="00CF1981" w:rsidRDefault="00CF1981" w:rsidP="00CF1981">
      <w:pPr>
        <w:pStyle w:val="EndNoteBibliography"/>
        <w:ind w:left="720" w:hanging="720"/>
        <w:jc w:val="both"/>
        <w:rPr>
          <w:rFonts w:asciiTheme="majorBidi" w:hAnsiTheme="majorBidi" w:cstheme="majorBidi"/>
          <w:sz w:val="22"/>
        </w:rPr>
      </w:pPr>
      <w:bookmarkStart w:id="12" w:name="_ENREF_8"/>
      <w:r>
        <w:rPr>
          <w:rFonts w:asciiTheme="majorBidi" w:hAnsiTheme="majorBidi" w:cstheme="majorBidi"/>
          <w:sz w:val="22"/>
        </w:rPr>
        <w:t xml:space="preserve">Haseeb, M., Lu, X., Bibi, A., Dyian, M.-U., &amp; Rabbani, W. (2011). </w:t>
      </w:r>
      <w:r>
        <w:rPr>
          <w:rFonts w:asciiTheme="majorBidi" w:hAnsiTheme="majorBidi" w:cstheme="majorBidi"/>
          <w:i/>
          <w:iCs/>
          <w:sz w:val="22"/>
        </w:rPr>
        <w:t>Causes and effects of delays in large construction projects of Pakistan.</w:t>
      </w:r>
      <w:r>
        <w:rPr>
          <w:rFonts w:asciiTheme="majorBidi" w:hAnsiTheme="majorBidi" w:cstheme="majorBidi"/>
          <w:sz w:val="22"/>
        </w:rPr>
        <w:t xml:space="preserve"> Kuwait Chapter of Arabian Journal of Business and Management Review,</w:t>
      </w:r>
      <w:r>
        <w:rPr>
          <w:rFonts w:asciiTheme="majorBidi" w:hAnsiTheme="majorBidi" w:cstheme="majorBidi"/>
          <w:i/>
          <w:sz w:val="22"/>
        </w:rPr>
        <w:t xml:space="preserve"> Vol.1</w:t>
      </w:r>
      <w:r>
        <w:rPr>
          <w:rFonts w:asciiTheme="majorBidi" w:hAnsiTheme="majorBidi" w:cstheme="majorBidi"/>
          <w:sz w:val="22"/>
        </w:rPr>
        <w:t xml:space="preserve">(No.4), 18-42. </w:t>
      </w:r>
      <w:bookmarkEnd w:id="12"/>
    </w:p>
    <w:p w:rsidR="00CF1981" w:rsidRDefault="00CF1981" w:rsidP="00CF1981">
      <w:pPr>
        <w:pStyle w:val="EndNoteBibliography"/>
        <w:ind w:left="720" w:hanging="720"/>
        <w:jc w:val="both"/>
        <w:rPr>
          <w:rFonts w:asciiTheme="majorBidi" w:hAnsiTheme="majorBidi" w:cstheme="majorBidi"/>
          <w:sz w:val="22"/>
        </w:rPr>
      </w:pPr>
      <w:bookmarkStart w:id="13" w:name="_ENREF_9"/>
      <w:r>
        <w:rPr>
          <w:rFonts w:asciiTheme="majorBidi" w:hAnsiTheme="majorBidi" w:cstheme="majorBidi"/>
          <w:sz w:val="22"/>
        </w:rPr>
        <w:t xml:space="preserve">Hussain, S., Zhu, F., Ali, Z., Aslam, H. D., &amp; Hussain, A. (2018). </w:t>
      </w:r>
      <w:r>
        <w:rPr>
          <w:rFonts w:asciiTheme="majorBidi" w:hAnsiTheme="majorBidi" w:cstheme="majorBidi"/>
          <w:i/>
          <w:iCs/>
          <w:sz w:val="22"/>
        </w:rPr>
        <w:t>Critical delaying factors: public sector building projects in Gilgit-Baltistan, Pakistan.</w:t>
      </w:r>
      <w:r>
        <w:rPr>
          <w:rFonts w:asciiTheme="majorBidi" w:hAnsiTheme="majorBidi" w:cstheme="majorBidi"/>
          <w:sz w:val="22"/>
        </w:rPr>
        <w:t xml:space="preserve"> </w:t>
      </w:r>
      <w:r>
        <w:rPr>
          <w:rFonts w:asciiTheme="majorBidi" w:hAnsiTheme="majorBidi" w:cstheme="majorBidi"/>
          <w:iCs/>
          <w:sz w:val="22"/>
        </w:rPr>
        <w:t xml:space="preserve">Buildings, </w:t>
      </w:r>
      <w:r>
        <w:rPr>
          <w:rFonts w:asciiTheme="majorBidi" w:hAnsiTheme="majorBidi" w:cstheme="majorBidi"/>
          <w:i/>
          <w:sz w:val="22"/>
        </w:rPr>
        <w:t>8</w:t>
      </w:r>
      <w:r>
        <w:rPr>
          <w:rFonts w:asciiTheme="majorBidi" w:hAnsiTheme="majorBidi" w:cstheme="majorBidi"/>
          <w:sz w:val="22"/>
        </w:rPr>
        <w:t xml:space="preserve">(1), 6. </w:t>
      </w:r>
      <w:bookmarkEnd w:id="13"/>
    </w:p>
    <w:p w:rsidR="00CF1981" w:rsidRDefault="00CF1981" w:rsidP="00CF1981">
      <w:pPr>
        <w:pStyle w:val="EndNoteBibliography"/>
        <w:ind w:left="720" w:hanging="720"/>
        <w:jc w:val="both"/>
        <w:rPr>
          <w:rFonts w:asciiTheme="majorBidi" w:hAnsiTheme="majorBidi" w:cstheme="majorBidi"/>
          <w:sz w:val="22"/>
        </w:rPr>
      </w:pPr>
      <w:bookmarkStart w:id="14" w:name="_ENREF_10"/>
      <w:r>
        <w:rPr>
          <w:rFonts w:asciiTheme="majorBidi" w:hAnsiTheme="majorBidi" w:cstheme="majorBidi"/>
          <w:sz w:val="22"/>
        </w:rPr>
        <w:t xml:space="preserve">Hussain, S., Zhu, F., Ali, Z., &amp; Xu, X. (2017). </w:t>
      </w:r>
      <w:r>
        <w:rPr>
          <w:rFonts w:asciiTheme="majorBidi" w:hAnsiTheme="majorBidi" w:cstheme="majorBidi"/>
          <w:i/>
          <w:iCs/>
          <w:sz w:val="22"/>
        </w:rPr>
        <w:t>Rural residents’ perception of construction project delays in Pakistan</w:t>
      </w:r>
      <w:r>
        <w:rPr>
          <w:rFonts w:asciiTheme="majorBidi" w:hAnsiTheme="majorBidi" w:cstheme="majorBidi"/>
          <w:sz w:val="22"/>
        </w:rPr>
        <w:t xml:space="preserve">. </w:t>
      </w:r>
      <w:r>
        <w:rPr>
          <w:rFonts w:asciiTheme="majorBidi" w:hAnsiTheme="majorBidi" w:cstheme="majorBidi"/>
          <w:iCs/>
          <w:sz w:val="22"/>
        </w:rPr>
        <w:t>Sustainability,</w:t>
      </w:r>
      <w:r>
        <w:rPr>
          <w:rFonts w:asciiTheme="majorBidi" w:hAnsiTheme="majorBidi" w:cstheme="majorBidi"/>
          <w:i/>
          <w:sz w:val="22"/>
        </w:rPr>
        <w:t xml:space="preserve"> 9</w:t>
      </w:r>
      <w:r>
        <w:rPr>
          <w:rFonts w:asciiTheme="majorBidi" w:hAnsiTheme="majorBidi" w:cstheme="majorBidi"/>
          <w:sz w:val="22"/>
        </w:rPr>
        <w:t xml:space="preserve">(11), 2018. </w:t>
      </w:r>
      <w:bookmarkEnd w:id="14"/>
    </w:p>
    <w:p w:rsidR="00CF1981" w:rsidRDefault="00CF1981" w:rsidP="00CF1981">
      <w:pPr>
        <w:pStyle w:val="EndNoteBibliography"/>
        <w:ind w:left="720" w:hanging="720"/>
        <w:jc w:val="both"/>
        <w:rPr>
          <w:rFonts w:asciiTheme="majorBidi" w:hAnsiTheme="majorBidi" w:cstheme="majorBidi"/>
          <w:sz w:val="22"/>
        </w:rPr>
      </w:pPr>
      <w:bookmarkStart w:id="15" w:name="_ENREF_11"/>
      <w:r>
        <w:rPr>
          <w:rFonts w:asciiTheme="majorBidi" w:hAnsiTheme="majorBidi" w:cstheme="majorBidi"/>
          <w:sz w:val="22"/>
        </w:rPr>
        <w:t xml:space="preserve">Hwang, B.-G., Zhao, X., &amp; Ng, S. Y. (2013). </w:t>
      </w:r>
      <w:r>
        <w:rPr>
          <w:rFonts w:asciiTheme="majorBidi" w:hAnsiTheme="majorBidi" w:cstheme="majorBidi"/>
          <w:i/>
          <w:iCs/>
          <w:sz w:val="22"/>
        </w:rPr>
        <w:t>Identifying the critical factors affecting schedule performance of public housing projects.</w:t>
      </w:r>
      <w:r>
        <w:rPr>
          <w:rFonts w:asciiTheme="majorBidi" w:hAnsiTheme="majorBidi" w:cstheme="majorBidi"/>
          <w:sz w:val="22"/>
        </w:rPr>
        <w:t xml:space="preserve"> </w:t>
      </w:r>
      <w:r>
        <w:rPr>
          <w:rFonts w:asciiTheme="majorBidi" w:hAnsiTheme="majorBidi" w:cstheme="majorBidi"/>
          <w:iCs/>
          <w:sz w:val="22"/>
        </w:rPr>
        <w:t>Habitat International,</w:t>
      </w:r>
      <w:r>
        <w:rPr>
          <w:rFonts w:asciiTheme="majorBidi" w:hAnsiTheme="majorBidi" w:cstheme="majorBidi"/>
          <w:i/>
          <w:sz w:val="22"/>
        </w:rPr>
        <w:t xml:space="preserve"> 38</w:t>
      </w:r>
      <w:r>
        <w:rPr>
          <w:rFonts w:asciiTheme="majorBidi" w:hAnsiTheme="majorBidi" w:cstheme="majorBidi"/>
          <w:sz w:val="22"/>
        </w:rPr>
        <w:t xml:space="preserve">, 214-221. </w:t>
      </w:r>
      <w:bookmarkEnd w:id="15"/>
    </w:p>
    <w:p w:rsidR="00CF1981" w:rsidRDefault="00CF1981" w:rsidP="00CF1981">
      <w:pPr>
        <w:pStyle w:val="EndNoteBibliography"/>
        <w:ind w:left="720" w:hanging="720"/>
        <w:jc w:val="both"/>
        <w:rPr>
          <w:rFonts w:asciiTheme="majorBidi" w:hAnsiTheme="majorBidi" w:cstheme="majorBidi"/>
          <w:sz w:val="22"/>
        </w:rPr>
      </w:pPr>
      <w:bookmarkStart w:id="16" w:name="_ENREF_12"/>
      <w:r>
        <w:rPr>
          <w:rFonts w:asciiTheme="majorBidi" w:hAnsiTheme="majorBidi" w:cstheme="majorBidi"/>
          <w:sz w:val="22"/>
        </w:rPr>
        <w:t xml:space="preserve">Hyder, A., &amp; Sadiq, M. (2010). </w:t>
      </w:r>
      <w:r>
        <w:rPr>
          <w:rFonts w:asciiTheme="majorBidi" w:hAnsiTheme="majorBidi" w:cstheme="majorBidi"/>
          <w:i/>
          <w:iCs/>
          <w:sz w:val="22"/>
        </w:rPr>
        <w:t>Determinants of Poverty in Pakistan.</w:t>
      </w:r>
      <w:r>
        <w:rPr>
          <w:rFonts w:asciiTheme="majorBidi" w:hAnsiTheme="majorBidi" w:cstheme="majorBidi"/>
          <w:sz w:val="22"/>
        </w:rPr>
        <w:t xml:space="preserve"> </w:t>
      </w:r>
      <w:r>
        <w:rPr>
          <w:rFonts w:asciiTheme="majorBidi" w:hAnsiTheme="majorBidi" w:cstheme="majorBidi"/>
          <w:iCs/>
          <w:sz w:val="22"/>
        </w:rPr>
        <w:t>Hamburg Review of Social Sciences,</w:t>
      </w:r>
      <w:r>
        <w:rPr>
          <w:rFonts w:asciiTheme="majorBidi" w:hAnsiTheme="majorBidi" w:cstheme="majorBidi"/>
          <w:i/>
          <w:sz w:val="22"/>
        </w:rPr>
        <w:t xml:space="preserve"> 4</w:t>
      </w:r>
      <w:r>
        <w:rPr>
          <w:rFonts w:asciiTheme="majorBidi" w:hAnsiTheme="majorBidi" w:cstheme="majorBidi"/>
          <w:sz w:val="22"/>
        </w:rPr>
        <w:t xml:space="preserve">(3). </w:t>
      </w:r>
      <w:bookmarkEnd w:id="16"/>
    </w:p>
    <w:bookmarkStart w:id="17" w:name="_Hlk143505577"/>
    <w:p w:rsidR="00CF1981" w:rsidRDefault="00CF1981" w:rsidP="00CF1981">
      <w:pPr>
        <w:pStyle w:val="EndNoteBibliography"/>
        <w:ind w:left="720" w:hanging="720"/>
        <w:jc w:val="both"/>
        <w:rPr>
          <w:rFonts w:asciiTheme="majorBidi" w:hAnsiTheme="majorBidi" w:cstheme="majorBidi"/>
          <w:sz w:val="22"/>
        </w:rPr>
      </w:pPr>
      <w:r>
        <w:rPr>
          <w:rFonts w:asciiTheme="majorBidi" w:hAnsiTheme="majorBidi" w:cstheme="majorBidi"/>
          <w:sz w:val="22"/>
        </w:rPr>
        <w:fldChar w:fldCharType="begin"/>
      </w:r>
      <w:r>
        <w:rPr>
          <w:rFonts w:asciiTheme="majorBidi" w:hAnsiTheme="majorBidi" w:cstheme="majorBidi"/>
          <w:sz w:val="22"/>
        </w:rPr>
        <w:instrText xml:space="preserve"> HYPERLINK "https://en.wikipedia.org/wiki/List_of_universities_in_Pakistan" </w:instrText>
      </w:r>
      <w:r>
        <w:rPr>
          <w:rFonts w:asciiTheme="majorBidi" w:hAnsiTheme="majorBidi" w:cstheme="majorBidi"/>
          <w:sz w:val="22"/>
        </w:rPr>
        <w:fldChar w:fldCharType="separate"/>
      </w:r>
      <w:r>
        <w:rPr>
          <w:rFonts w:asciiTheme="majorBidi" w:hAnsiTheme="majorBidi" w:cstheme="majorBidi"/>
          <w:sz w:val="22"/>
        </w:rPr>
        <w:t>H</w:t>
      </w:r>
      <w:r>
        <w:rPr>
          <w:rStyle w:val="Hyperlink"/>
          <w:rFonts w:asciiTheme="majorBidi" w:hAnsiTheme="majorBidi"/>
          <w:color w:val="auto"/>
          <w:sz w:val="22"/>
        </w:rPr>
        <w:t>ttps://en.wikipedia.org/wiki/List_of_universities_in_Pakistan</w:t>
      </w:r>
      <w:r>
        <w:rPr>
          <w:rFonts w:asciiTheme="majorBidi" w:hAnsiTheme="majorBidi" w:cstheme="majorBidi"/>
          <w:sz w:val="22"/>
        </w:rPr>
        <w:fldChar w:fldCharType="end"/>
      </w:r>
      <w:r>
        <w:rPr>
          <w:rFonts w:asciiTheme="majorBidi" w:hAnsiTheme="majorBidi" w:cstheme="majorBidi"/>
          <w:sz w:val="22"/>
        </w:rPr>
        <w:t xml:space="preserve">, </w:t>
      </w:r>
      <w:bookmarkEnd w:id="17"/>
      <w:r>
        <w:rPr>
          <w:rFonts w:asciiTheme="majorBidi" w:hAnsiTheme="majorBidi" w:cstheme="majorBidi"/>
          <w:sz w:val="22"/>
          <w:shd w:val="clear" w:color="auto" w:fill="FFFFFF"/>
        </w:rPr>
        <w:t>Retrieved</w:t>
      </w:r>
      <w:r>
        <w:rPr>
          <w:rFonts w:asciiTheme="majorBidi" w:hAnsiTheme="majorBidi" w:cstheme="majorBidi"/>
          <w:sz w:val="22"/>
        </w:rPr>
        <w:t xml:space="preserve"> </w:t>
      </w:r>
      <w:r>
        <w:rPr>
          <w:rFonts w:asciiTheme="majorBidi" w:hAnsiTheme="majorBidi" w:cstheme="majorBidi"/>
          <w:sz w:val="22"/>
          <w:shd w:val="clear" w:color="auto" w:fill="FFFFFF"/>
        </w:rPr>
        <w:t>17 August 2023, at 05:22</w:t>
      </w:r>
      <w:r>
        <w:rPr>
          <w:rStyle w:val="anonymous-show"/>
          <w:rFonts w:asciiTheme="majorBidi" w:hAnsiTheme="majorBidi" w:cstheme="majorBidi"/>
          <w:sz w:val="22"/>
          <w:shd w:val="clear" w:color="auto" w:fill="FFFFFF"/>
        </w:rPr>
        <w:t> (UTC)</w:t>
      </w:r>
      <w:r>
        <w:rPr>
          <w:rFonts w:asciiTheme="majorBidi" w:hAnsiTheme="majorBidi" w:cstheme="majorBidi"/>
          <w:sz w:val="22"/>
          <w:shd w:val="clear" w:color="auto" w:fill="FFFFFF"/>
        </w:rPr>
        <w:t>.</w:t>
      </w:r>
    </w:p>
    <w:p w:rsidR="00CF1981" w:rsidRDefault="00CF1981" w:rsidP="00CF1981">
      <w:pPr>
        <w:pStyle w:val="EndNoteBibliography"/>
        <w:ind w:left="720" w:hanging="720"/>
        <w:jc w:val="both"/>
        <w:rPr>
          <w:rFonts w:asciiTheme="majorBidi" w:hAnsiTheme="majorBidi" w:cstheme="majorBidi"/>
          <w:sz w:val="22"/>
        </w:rPr>
      </w:pPr>
      <w:bookmarkStart w:id="18" w:name="_ENREF_13"/>
      <w:r>
        <w:rPr>
          <w:rFonts w:asciiTheme="majorBidi" w:hAnsiTheme="majorBidi" w:cstheme="majorBidi"/>
          <w:sz w:val="22"/>
        </w:rPr>
        <w:t xml:space="preserve">Iyer, K.C., &amp; Jha, K.N. (2005). </w:t>
      </w:r>
      <w:r>
        <w:rPr>
          <w:rFonts w:asciiTheme="majorBidi" w:hAnsiTheme="majorBidi" w:cstheme="majorBidi"/>
          <w:i/>
          <w:iCs/>
          <w:sz w:val="22"/>
        </w:rPr>
        <w:t>Factors affecting cost performance: evidence from Indian construction projects</w:t>
      </w:r>
      <w:r>
        <w:rPr>
          <w:rFonts w:asciiTheme="majorBidi" w:hAnsiTheme="majorBidi" w:cstheme="majorBidi"/>
          <w:sz w:val="22"/>
        </w:rPr>
        <w:t>. International journal of project management,</w:t>
      </w:r>
      <w:r>
        <w:rPr>
          <w:rFonts w:asciiTheme="majorBidi" w:hAnsiTheme="majorBidi" w:cstheme="majorBidi"/>
          <w:i/>
          <w:sz w:val="22"/>
        </w:rPr>
        <w:t xml:space="preserve"> 23</w:t>
      </w:r>
      <w:r>
        <w:rPr>
          <w:rFonts w:asciiTheme="majorBidi" w:hAnsiTheme="majorBidi" w:cstheme="majorBidi"/>
          <w:sz w:val="22"/>
        </w:rPr>
        <w:t xml:space="preserve">(4), 283-295. </w:t>
      </w:r>
      <w:bookmarkEnd w:id="18"/>
    </w:p>
    <w:p w:rsidR="00CF1981" w:rsidRDefault="00CF1981" w:rsidP="00CF1981">
      <w:pPr>
        <w:pStyle w:val="EndNoteBibliography"/>
        <w:ind w:left="720" w:hanging="720"/>
        <w:jc w:val="both"/>
        <w:rPr>
          <w:rFonts w:asciiTheme="majorBidi" w:hAnsiTheme="majorBidi" w:cstheme="majorBidi"/>
          <w:sz w:val="22"/>
        </w:rPr>
      </w:pPr>
      <w:bookmarkStart w:id="19" w:name="_ENREF_14"/>
      <w:r>
        <w:rPr>
          <w:rFonts w:asciiTheme="majorBidi" w:hAnsiTheme="majorBidi" w:cstheme="majorBidi"/>
          <w:sz w:val="22"/>
        </w:rPr>
        <w:t xml:space="preserve">Kim, S.Y., Tuan, K. N., &amp; Luu, V. T. (2016). </w:t>
      </w:r>
      <w:r>
        <w:rPr>
          <w:rFonts w:asciiTheme="majorBidi" w:hAnsiTheme="majorBidi" w:cstheme="majorBidi"/>
          <w:i/>
          <w:iCs/>
          <w:sz w:val="22"/>
        </w:rPr>
        <w:t>Delay factor analysis for hospital projects in Vietnam</w:t>
      </w:r>
      <w:r>
        <w:rPr>
          <w:rFonts w:asciiTheme="majorBidi" w:hAnsiTheme="majorBidi" w:cstheme="majorBidi"/>
          <w:sz w:val="22"/>
        </w:rPr>
        <w:t xml:space="preserve">. </w:t>
      </w:r>
      <w:r>
        <w:rPr>
          <w:rFonts w:asciiTheme="majorBidi" w:hAnsiTheme="majorBidi" w:cstheme="majorBidi"/>
          <w:iCs/>
          <w:sz w:val="22"/>
        </w:rPr>
        <w:t>KSCE Journal of Civil Engineering,</w:t>
      </w:r>
      <w:r>
        <w:rPr>
          <w:rFonts w:asciiTheme="majorBidi" w:hAnsiTheme="majorBidi" w:cstheme="majorBidi"/>
          <w:i/>
          <w:sz w:val="22"/>
        </w:rPr>
        <w:t xml:space="preserve"> 20</w:t>
      </w:r>
      <w:r>
        <w:rPr>
          <w:rFonts w:asciiTheme="majorBidi" w:hAnsiTheme="majorBidi" w:cstheme="majorBidi"/>
          <w:sz w:val="22"/>
        </w:rPr>
        <w:t xml:space="preserve">(2), 519-529. </w:t>
      </w:r>
      <w:bookmarkEnd w:id="19"/>
    </w:p>
    <w:p w:rsidR="00CF1981" w:rsidRDefault="00CF1981" w:rsidP="00CF1981">
      <w:pPr>
        <w:pStyle w:val="EndNoteBibliography"/>
        <w:ind w:left="720" w:hanging="720"/>
        <w:jc w:val="both"/>
        <w:rPr>
          <w:rFonts w:asciiTheme="majorBidi" w:hAnsiTheme="majorBidi" w:cstheme="majorBidi"/>
          <w:sz w:val="22"/>
        </w:rPr>
      </w:pPr>
      <w:bookmarkStart w:id="20" w:name="_ENREF_15"/>
      <w:r>
        <w:rPr>
          <w:rFonts w:asciiTheme="majorBidi" w:hAnsiTheme="majorBidi" w:cstheme="majorBidi"/>
          <w:sz w:val="22"/>
        </w:rPr>
        <w:t xml:space="preserve">Krejcie, R. V., &amp; Morgan, D. W. (1970). Determining sample size for research activities. </w:t>
      </w:r>
      <w:r>
        <w:rPr>
          <w:rFonts w:asciiTheme="majorBidi" w:hAnsiTheme="majorBidi" w:cstheme="majorBidi"/>
          <w:i/>
          <w:sz w:val="22"/>
        </w:rPr>
        <w:t>Educational and psychological measurement, 30</w:t>
      </w:r>
      <w:r>
        <w:rPr>
          <w:rFonts w:asciiTheme="majorBidi" w:hAnsiTheme="majorBidi" w:cstheme="majorBidi"/>
          <w:sz w:val="22"/>
        </w:rPr>
        <w:t xml:space="preserve">(3), 607-610. </w:t>
      </w:r>
      <w:bookmarkEnd w:id="20"/>
    </w:p>
    <w:p w:rsidR="00CF1981" w:rsidRDefault="00CF1981" w:rsidP="00CF1981">
      <w:pPr>
        <w:pStyle w:val="EndNoteBibliography"/>
        <w:ind w:left="720" w:hanging="720"/>
        <w:jc w:val="both"/>
        <w:rPr>
          <w:rFonts w:asciiTheme="majorBidi" w:hAnsiTheme="majorBidi" w:cstheme="majorBidi"/>
          <w:sz w:val="22"/>
        </w:rPr>
      </w:pPr>
      <w:r>
        <w:rPr>
          <w:rFonts w:asciiTheme="majorBidi" w:hAnsiTheme="majorBidi" w:cstheme="majorBidi"/>
          <w:sz w:val="22"/>
          <w:shd w:val="clear" w:color="auto" w:fill="FFFFFF"/>
        </w:rPr>
        <w:t xml:space="preserve">Khan, A., Waris, M., Ismail, I., Sajid, M.R., Ali, Z., Ullah, M., &amp; </w:t>
      </w:r>
      <w:r>
        <w:rPr>
          <w:rFonts w:asciiTheme="majorBidi" w:hAnsiTheme="majorBidi" w:cstheme="majorBidi"/>
          <w:sz w:val="22"/>
          <w:shd w:val="clear" w:color="auto" w:fill="FFFFFF"/>
        </w:rPr>
        <w:lastRenderedPageBreak/>
        <w:t xml:space="preserve">Hussain, A. (2019). </w:t>
      </w:r>
      <w:r>
        <w:rPr>
          <w:rFonts w:asciiTheme="majorBidi" w:hAnsiTheme="majorBidi" w:cstheme="majorBidi"/>
          <w:i/>
          <w:iCs/>
          <w:sz w:val="22"/>
          <w:lang w:eastAsia="zh-CN"/>
        </w:rPr>
        <w:t xml:space="preserve">Investigating the Practices of Project Governance in Public Sector Infrastructure Program in Pakistan. </w:t>
      </w:r>
      <w:r>
        <w:rPr>
          <w:rFonts w:asciiTheme="majorBidi" w:hAnsiTheme="majorBidi" w:cstheme="majorBidi"/>
          <w:sz w:val="22"/>
          <w:lang w:eastAsia="zh-CN"/>
        </w:rPr>
        <w:t>Hindawi Advances in Civil Engineering.</w:t>
      </w:r>
      <w:r>
        <w:rPr>
          <w:rFonts w:asciiTheme="majorBidi" w:hAnsiTheme="majorBidi" w:cstheme="majorBidi"/>
          <w:i/>
          <w:iCs/>
          <w:sz w:val="22"/>
          <w:lang w:eastAsia="zh-CN"/>
        </w:rPr>
        <w:t xml:space="preserve"> 2019 (1-11)</w:t>
      </w:r>
      <w:r>
        <w:rPr>
          <w:rFonts w:asciiTheme="majorBidi" w:hAnsiTheme="majorBidi" w:cstheme="majorBidi"/>
          <w:i/>
          <w:iCs/>
          <w:sz w:val="22"/>
        </w:rPr>
        <w:t>.</w:t>
      </w:r>
    </w:p>
    <w:p w:rsidR="00CF1981" w:rsidRDefault="00CF1981" w:rsidP="00CF1981">
      <w:pPr>
        <w:pStyle w:val="EndNoteBibliography"/>
        <w:ind w:left="720" w:hanging="720"/>
        <w:jc w:val="both"/>
        <w:rPr>
          <w:rFonts w:asciiTheme="majorBidi" w:hAnsiTheme="majorBidi" w:cstheme="majorBidi"/>
          <w:sz w:val="22"/>
        </w:rPr>
      </w:pPr>
      <w:bookmarkStart w:id="21" w:name="_ENREF_16"/>
      <w:r>
        <w:rPr>
          <w:rFonts w:asciiTheme="majorBidi" w:hAnsiTheme="majorBidi" w:cstheme="majorBidi"/>
          <w:sz w:val="22"/>
        </w:rPr>
        <w:t xml:space="preserve">Lo, T. Y., Fung, I. W. H., &amp; Tung, K. C.F. (2006). </w:t>
      </w:r>
      <w:r>
        <w:rPr>
          <w:rFonts w:asciiTheme="majorBidi" w:hAnsiTheme="majorBidi" w:cstheme="majorBidi"/>
          <w:i/>
          <w:iCs/>
          <w:sz w:val="22"/>
        </w:rPr>
        <w:t>Construction delays in Hong Kong civil engineering projects.</w:t>
      </w:r>
      <w:r>
        <w:rPr>
          <w:rFonts w:asciiTheme="majorBidi" w:hAnsiTheme="majorBidi" w:cstheme="majorBidi"/>
          <w:sz w:val="22"/>
        </w:rPr>
        <w:t xml:space="preserve"> </w:t>
      </w:r>
      <w:r>
        <w:rPr>
          <w:rFonts w:asciiTheme="majorBidi" w:hAnsiTheme="majorBidi" w:cstheme="majorBidi"/>
          <w:iCs/>
          <w:sz w:val="22"/>
        </w:rPr>
        <w:t>Journal of construction engineering and management,</w:t>
      </w:r>
      <w:r>
        <w:rPr>
          <w:rFonts w:asciiTheme="majorBidi" w:hAnsiTheme="majorBidi" w:cstheme="majorBidi"/>
          <w:i/>
          <w:sz w:val="22"/>
        </w:rPr>
        <w:t xml:space="preserve"> 132</w:t>
      </w:r>
      <w:r>
        <w:rPr>
          <w:rFonts w:asciiTheme="majorBidi" w:hAnsiTheme="majorBidi" w:cstheme="majorBidi"/>
          <w:sz w:val="22"/>
        </w:rPr>
        <w:t xml:space="preserve">(6), 636-649. </w:t>
      </w:r>
      <w:bookmarkEnd w:id="21"/>
    </w:p>
    <w:p w:rsidR="00CF1981" w:rsidRDefault="00CF1981" w:rsidP="00CF1981">
      <w:pPr>
        <w:pStyle w:val="EndNoteBibliography"/>
        <w:ind w:left="720" w:hanging="720"/>
        <w:jc w:val="both"/>
        <w:rPr>
          <w:rFonts w:asciiTheme="majorBidi" w:hAnsiTheme="majorBidi" w:cstheme="majorBidi"/>
          <w:sz w:val="22"/>
        </w:rPr>
      </w:pPr>
      <w:bookmarkStart w:id="22" w:name="_ENREF_17"/>
      <w:r>
        <w:rPr>
          <w:rFonts w:asciiTheme="majorBidi" w:hAnsiTheme="majorBidi" w:cstheme="majorBidi"/>
          <w:sz w:val="22"/>
        </w:rPr>
        <w:t xml:space="preserve">Olawale, Y., &amp; Sun, M. (2013). PCIM: </w:t>
      </w:r>
      <w:r>
        <w:rPr>
          <w:rFonts w:asciiTheme="majorBidi" w:hAnsiTheme="majorBidi" w:cstheme="majorBidi"/>
          <w:i/>
          <w:iCs/>
          <w:sz w:val="22"/>
        </w:rPr>
        <w:t>Project control and inhibiting-factors management model.</w:t>
      </w:r>
      <w:r>
        <w:rPr>
          <w:rFonts w:asciiTheme="majorBidi" w:hAnsiTheme="majorBidi" w:cstheme="majorBidi"/>
          <w:sz w:val="22"/>
        </w:rPr>
        <w:t xml:space="preserve"> </w:t>
      </w:r>
      <w:r>
        <w:rPr>
          <w:rFonts w:asciiTheme="majorBidi" w:hAnsiTheme="majorBidi" w:cstheme="majorBidi"/>
          <w:iCs/>
          <w:sz w:val="22"/>
        </w:rPr>
        <w:t>Journal of management in engineering,</w:t>
      </w:r>
      <w:r>
        <w:rPr>
          <w:rFonts w:asciiTheme="majorBidi" w:hAnsiTheme="majorBidi" w:cstheme="majorBidi"/>
          <w:i/>
          <w:sz w:val="22"/>
        </w:rPr>
        <w:t xml:space="preserve"> 29</w:t>
      </w:r>
      <w:r>
        <w:rPr>
          <w:rFonts w:asciiTheme="majorBidi" w:hAnsiTheme="majorBidi" w:cstheme="majorBidi"/>
          <w:sz w:val="22"/>
        </w:rPr>
        <w:t xml:space="preserve">(1), 60-70. </w:t>
      </w:r>
      <w:bookmarkEnd w:id="22"/>
    </w:p>
    <w:p w:rsidR="00CF1981" w:rsidRDefault="00CF1981" w:rsidP="00CF1981">
      <w:pPr>
        <w:pStyle w:val="EndNoteBibliography"/>
        <w:ind w:left="720" w:hanging="720"/>
        <w:jc w:val="both"/>
        <w:rPr>
          <w:rFonts w:asciiTheme="majorBidi" w:hAnsiTheme="majorBidi" w:cstheme="majorBidi"/>
          <w:sz w:val="22"/>
        </w:rPr>
      </w:pPr>
      <w:bookmarkStart w:id="23" w:name="_ENREF_18"/>
      <w:r>
        <w:rPr>
          <w:rFonts w:asciiTheme="majorBidi" w:hAnsiTheme="majorBidi" w:cstheme="majorBidi"/>
          <w:sz w:val="22"/>
        </w:rPr>
        <w:t xml:space="preserve">Rehman, A. U., Khan, A. M., &amp; Khan, R. A. (2011). </w:t>
      </w:r>
      <w:r>
        <w:rPr>
          <w:rFonts w:asciiTheme="majorBidi" w:hAnsiTheme="majorBidi" w:cstheme="majorBidi"/>
          <w:i/>
          <w:iCs/>
          <w:sz w:val="22"/>
        </w:rPr>
        <w:t>Measuring training effectiveness: A case study of public sector project management in Pakistan.</w:t>
      </w:r>
      <w:r>
        <w:rPr>
          <w:rFonts w:asciiTheme="majorBidi" w:hAnsiTheme="majorBidi" w:cstheme="majorBidi"/>
          <w:sz w:val="22"/>
        </w:rPr>
        <w:t xml:space="preserve"> </w:t>
      </w:r>
      <w:r>
        <w:rPr>
          <w:rFonts w:asciiTheme="majorBidi" w:hAnsiTheme="majorBidi" w:cstheme="majorBidi"/>
          <w:iCs/>
          <w:sz w:val="22"/>
        </w:rPr>
        <w:t>Journal of Diversity Managemen</w:t>
      </w:r>
      <w:r>
        <w:rPr>
          <w:rFonts w:asciiTheme="majorBidi" w:hAnsiTheme="majorBidi" w:cstheme="majorBidi"/>
          <w:i/>
          <w:sz w:val="22"/>
        </w:rPr>
        <w:t>t (JDM), 6</w:t>
      </w:r>
      <w:r>
        <w:rPr>
          <w:rFonts w:asciiTheme="majorBidi" w:hAnsiTheme="majorBidi" w:cstheme="majorBidi"/>
          <w:sz w:val="22"/>
        </w:rPr>
        <w:t xml:space="preserve">(1). </w:t>
      </w:r>
      <w:bookmarkEnd w:id="23"/>
    </w:p>
    <w:p w:rsidR="00CF1981" w:rsidRDefault="00CF1981" w:rsidP="00CF1981">
      <w:pPr>
        <w:pStyle w:val="EndNoteBibliography"/>
        <w:ind w:left="720" w:hanging="720"/>
        <w:jc w:val="both"/>
        <w:rPr>
          <w:rFonts w:asciiTheme="majorBidi" w:hAnsiTheme="majorBidi" w:cstheme="majorBidi"/>
          <w:sz w:val="22"/>
        </w:rPr>
      </w:pPr>
      <w:bookmarkStart w:id="24" w:name="_ENREF_19"/>
      <w:r>
        <w:rPr>
          <w:rFonts w:asciiTheme="majorBidi" w:hAnsiTheme="majorBidi" w:cstheme="majorBidi"/>
          <w:sz w:val="22"/>
        </w:rPr>
        <w:t xml:space="preserve">Sambasivan, M., &amp; Soon, Y.W. (2007). </w:t>
      </w:r>
      <w:r>
        <w:rPr>
          <w:rFonts w:asciiTheme="majorBidi" w:hAnsiTheme="majorBidi" w:cstheme="majorBidi"/>
          <w:i/>
          <w:iCs/>
          <w:sz w:val="22"/>
        </w:rPr>
        <w:t xml:space="preserve">Causes and effects of delays in Malaysian construction industry. </w:t>
      </w:r>
      <w:r>
        <w:rPr>
          <w:rFonts w:asciiTheme="majorBidi" w:hAnsiTheme="majorBidi" w:cstheme="majorBidi"/>
          <w:iCs/>
          <w:sz w:val="22"/>
        </w:rPr>
        <w:t>International journal of project management,</w:t>
      </w:r>
      <w:r>
        <w:rPr>
          <w:rFonts w:asciiTheme="majorBidi" w:hAnsiTheme="majorBidi" w:cstheme="majorBidi"/>
          <w:i/>
          <w:sz w:val="22"/>
        </w:rPr>
        <w:t xml:space="preserve"> 25</w:t>
      </w:r>
      <w:r>
        <w:rPr>
          <w:rFonts w:asciiTheme="majorBidi" w:hAnsiTheme="majorBidi" w:cstheme="majorBidi"/>
          <w:sz w:val="22"/>
        </w:rPr>
        <w:t xml:space="preserve">(5), 517-526. </w:t>
      </w:r>
      <w:bookmarkEnd w:id="24"/>
    </w:p>
    <w:p w:rsidR="00CF1981" w:rsidRDefault="00CF1981" w:rsidP="00CF1981">
      <w:pPr>
        <w:pStyle w:val="EndNoteBibliography"/>
        <w:ind w:left="720" w:hanging="720"/>
        <w:jc w:val="both"/>
        <w:rPr>
          <w:rFonts w:asciiTheme="majorBidi" w:hAnsiTheme="majorBidi" w:cstheme="majorBidi"/>
          <w:sz w:val="22"/>
        </w:rPr>
      </w:pPr>
      <w:bookmarkStart w:id="25" w:name="_ENREF_20"/>
      <w:r>
        <w:rPr>
          <w:rFonts w:asciiTheme="majorBidi" w:hAnsiTheme="majorBidi" w:cstheme="majorBidi"/>
          <w:sz w:val="22"/>
        </w:rPr>
        <w:t xml:space="preserve">Sweis, G., Sweis, R., Hammad, A. A., &amp; Shboul, A. (2008). </w:t>
      </w:r>
      <w:r>
        <w:rPr>
          <w:rFonts w:asciiTheme="majorBidi" w:hAnsiTheme="majorBidi" w:cstheme="majorBidi"/>
          <w:i/>
          <w:iCs/>
          <w:sz w:val="22"/>
        </w:rPr>
        <w:t>Delays in construction projects: The case of Jordan.</w:t>
      </w:r>
      <w:r>
        <w:rPr>
          <w:rFonts w:asciiTheme="majorBidi" w:hAnsiTheme="majorBidi" w:cstheme="majorBidi"/>
          <w:sz w:val="22"/>
        </w:rPr>
        <w:t xml:space="preserve"> </w:t>
      </w:r>
      <w:r>
        <w:rPr>
          <w:rFonts w:asciiTheme="majorBidi" w:hAnsiTheme="majorBidi" w:cstheme="majorBidi"/>
          <w:iCs/>
          <w:sz w:val="22"/>
        </w:rPr>
        <w:t>International journal of project management,</w:t>
      </w:r>
      <w:r>
        <w:rPr>
          <w:rFonts w:asciiTheme="majorBidi" w:hAnsiTheme="majorBidi" w:cstheme="majorBidi"/>
          <w:i/>
          <w:sz w:val="22"/>
        </w:rPr>
        <w:t xml:space="preserve"> 26</w:t>
      </w:r>
      <w:r>
        <w:rPr>
          <w:rFonts w:asciiTheme="majorBidi" w:hAnsiTheme="majorBidi" w:cstheme="majorBidi"/>
          <w:sz w:val="22"/>
        </w:rPr>
        <w:t xml:space="preserve">(6), 665-674. </w:t>
      </w:r>
      <w:bookmarkEnd w:id="25"/>
    </w:p>
    <w:p w:rsidR="00CF1981" w:rsidRDefault="00CF1981" w:rsidP="00CF1981">
      <w:pPr>
        <w:wordWrap/>
        <w:spacing w:after="0" w:line="240" w:lineRule="auto"/>
        <w:rPr>
          <w:rFonts w:asciiTheme="majorBidi" w:hAnsiTheme="majorBidi" w:cstheme="majorBidi"/>
          <w:i/>
          <w:iCs/>
          <w:sz w:val="22"/>
          <w:lang w:eastAsia="zh-CN"/>
        </w:rPr>
      </w:pPr>
      <w:r>
        <w:rPr>
          <w:rFonts w:asciiTheme="majorBidi" w:hAnsiTheme="majorBidi" w:cstheme="majorBidi"/>
          <w:iCs/>
          <w:sz w:val="22"/>
        </w:rPr>
        <w:fldChar w:fldCharType="end"/>
      </w:r>
    </w:p>
    <w:p w:rsidR="00CF1981" w:rsidRDefault="00CF1981" w:rsidP="00CF1981">
      <w:pPr>
        <w:wordWrap/>
        <w:spacing w:after="0" w:line="240" w:lineRule="auto"/>
        <w:rPr>
          <w:rFonts w:asciiTheme="majorBidi" w:hAnsiTheme="majorBidi" w:cstheme="majorBidi"/>
          <w:sz w:val="22"/>
          <w:shd w:val="clear" w:color="auto" w:fill="FFFFFF"/>
        </w:rPr>
      </w:pPr>
    </w:p>
    <w:p w:rsidR="00205963" w:rsidRDefault="00205963">
      <w:bookmarkStart w:id="26" w:name="_GoBack"/>
      <w:bookmarkEnd w:id="26"/>
    </w:p>
    <w:sectPr w:rsidR="00205963">
      <w:type w:val="continuous"/>
      <w:pgSz w:w="11907" w:h="16839"/>
      <w:pgMar w:top="2880" w:right="2880" w:bottom="2160" w:left="2880" w:header="2448" w:footer="187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E5A" w:rsidRDefault="00267E5A" w:rsidP="00CF1981">
      <w:pPr>
        <w:spacing w:after="0" w:line="240" w:lineRule="auto"/>
      </w:pPr>
      <w:r>
        <w:separator/>
      </w:r>
    </w:p>
  </w:endnote>
  <w:endnote w:type="continuationSeparator" w:id="0">
    <w:p w:rsidR="00267E5A" w:rsidRDefault="00267E5A" w:rsidP="00CF1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M Roman 12">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default"/>
    <w:sig w:usb0="00000000" w:usb1="00000000" w:usb2="00000030" w:usb3="00000000" w:csb0="0008009F" w:csb1="00000000"/>
  </w:font>
  <w:font w:name="Gulim">
    <w:altName w:val="굴림"/>
    <w:panose1 w:val="020B0600000101010101"/>
    <w:charset w:val="81"/>
    <w:family w:val="swiss"/>
    <w:pitch w:val="default"/>
    <w:sig w:usb0="00000000" w:usb1="00000000" w:usb2="00000030" w:usb3="00000000" w:csb0="0008009F" w:csb1="00000000"/>
  </w:font>
  <w:font w:name="HYSinMyeongJo-Medium">
    <w:altName w:val="Malgun Gothic"/>
    <w:charset w:val="81"/>
    <w:family w:val="roman"/>
    <w:pitch w:val="default"/>
    <w:sig w:usb0="00000000" w:usb1="00000000" w:usb2="00000010" w:usb3="00000000" w:csb0="00080000" w:csb1="00000000"/>
  </w:font>
  <w:font w:name="HYGothic-Medium">
    <w:altName w:val="Malgun Gothic"/>
    <w:charset w:val="81"/>
    <w:family w:val="roman"/>
    <w:pitch w:val="default"/>
    <w:sig w:usb0="00000000" w:usb1="0000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981" w:rsidRDefault="00CF1981">
    <w:pPr>
      <w:pStyle w:val="Footer"/>
      <w:tabs>
        <w:tab w:val="left" w:pos="630"/>
        <w:tab w:val="center" w:pos="4513"/>
        <w:tab w:val="right" w:pos="9026"/>
      </w:tabs>
      <w:rPr>
        <w:rFonts w:asciiTheme="majorBidi" w:hAnsiTheme="majorBidi" w:cstheme="majorBidi"/>
      </w:rPr>
    </w:pPr>
    <w:r>
      <w:rPr>
        <w:rFonts w:asciiTheme="majorBidi" w:hAnsiTheme="majorBidi" w:cstheme="majorBidi"/>
        <w:b/>
        <w:bCs/>
        <w:i/>
        <w:iCs/>
        <w:szCs w:val="20"/>
      </w:rPr>
      <w:t xml:space="preserve">The Sciencetech              </w:t>
    </w:r>
    <w:r>
      <w:rPr>
        <w:rFonts w:asciiTheme="majorBidi" w:hAnsiTheme="majorBidi" w:cstheme="majorBidi"/>
        <w:b/>
        <w:bCs/>
        <w:szCs w:val="20"/>
      </w:rPr>
      <w:t xml:space="preserve"> </w:t>
    </w:r>
    <w:r>
      <w:rPr>
        <w:rFonts w:asciiTheme="majorBidi" w:hAnsiTheme="majorBidi" w:cstheme="majorBidi"/>
        <w:b/>
        <w:bCs/>
        <w:szCs w:val="20"/>
      </w:rPr>
      <w:fldChar w:fldCharType="begin"/>
    </w:r>
    <w:r>
      <w:rPr>
        <w:rFonts w:asciiTheme="majorBidi" w:hAnsiTheme="majorBidi" w:cstheme="majorBidi"/>
        <w:b/>
        <w:bCs/>
        <w:szCs w:val="20"/>
      </w:rPr>
      <w:instrText xml:space="preserve"> PAGE   \* MERGEFORMAT </w:instrText>
    </w:r>
    <w:r>
      <w:rPr>
        <w:rFonts w:asciiTheme="majorBidi" w:hAnsiTheme="majorBidi" w:cstheme="majorBidi"/>
        <w:b/>
        <w:bCs/>
        <w:szCs w:val="20"/>
      </w:rPr>
      <w:fldChar w:fldCharType="separate"/>
    </w:r>
    <w:r>
      <w:rPr>
        <w:rFonts w:asciiTheme="majorBidi" w:hAnsiTheme="majorBidi" w:cstheme="majorBidi"/>
        <w:b/>
        <w:bCs/>
        <w:noProof/>
        <w:szCs w:val="20"/>
      </w:rPr>
      <w:t>133</w:t>
    </w:r>
    <w:r>
      <w:rPr>
        <w:rFonts w:asciiTheme="majorBidi" w:hAnsiTheme="majorBidi" w:cstheme="majorBidi"/>
        <w:b/>
        <w:bCs/>
        <w:szCs w:val="20"/>
      </w:rPr>
      <w:fldChar w:fldCharType="end"/>
    </w:r>
    <w:r>
      <w:rPr>
        <w:rFonts w:asciiTheme="majorBidi" w:hAnsiTheme="majorBidi" w:cstheme="majorBidi"/>
        <w:b/>
        <w:bCs/>
        <w:szCs w:val="20"/>
      </w:rPr>
      <w:t xml:space="preserve">                Volume 4, Issue 3, July-Sept 2023</w:t>
    </w:r>
  </w:p>
  <w:p w:rsidR="00CF1981" w:rsidRDefault="00CF198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E5A" w:rsidRDefault="00267E5A" w:rsidP="00CF1981">
      <w:pPr>
        <w:spacing w:after="0" w:line="240" w:lineRule="auto"/>
      </w:pPr>
      <w:r>
        <w:separator/>
      </w:r>
    </w:p>
  </w:footnote>
  <w:footnote w:type="continuationSeparator" w:id="0">
    <w:p w:rsidR="00267E5A" w:rsidRDefault="00267E5A" w:rsidP="00CF1981">
      <w:pPr>
        <w:spacing w:after="0" w:line="240" w:lineRule="auto"/>
      </w:pPr>
      <w:r>
        <w:continuationSeparator/>
      </w:r>
    </w:p>
  </w:footnote>
  <w:footnote w:id="1">
    <w:p w:rsidR="00CF1981" w:rsidRDefault="00CF1981" w:rsidP="00CF1981">
      <w:pPr>
        <w:pStyle w:val="FootnoteText"/>
        <w:rPr>
          <w:sz w:val="18"/>
          <w:szCs w:val="18"/>
        </w:rPr>
      </w:pPr>
      <w:r>
        <w:rPr>
          <w:rStyle w:val="FootnoteReference"/>
          <w:sz w:val="18"/>
          <w:szCs w:val="18"/>
        </w:rPr>
        <w:footnoteRef/>
      </w:r>
      <w:r>
        <w:rPr>
          <w:rFonts w:asciiTheme="majorBidi" w:eastAsia="HYGothic-Medium" w:hAnsiTheme="majorBidi" w:cstheme="majorBidi"/>
          <w:iCs/>
          <w:sz w:val="18"/>
          <w:szCs w:val="18"/>
          <w:shd w:val="clear" w:color="auto" w:fill="FFFFFF"/>
        </w:rPr>
        <w:t xml:space="preserve">MS Student &amp; Assistant Engineer, Directorate of Works, FATA University FR Kohat, Khyber Pakhtunkhwa, 26100, Pakistan </w:t>
      </w:r>
      <w:hyperlink r:id="rId1" w:history="1">
        <w:r>
          <w:rPr>
            <w:rStyle w:val="Hyperlink"/>
            <w:rFonts w:asciiTheme="majorBidi" w:eastAsia="HYGothic-Medium" w:hAnsiTheme="majorBidi"/>
            <w:sz w:val="18"/>
            <w:szCs w:val="18"/>
            <w:shd w:val="clear" w:color="auto" w:fill="FFFFFF"/>
          </w:rPr>
          <w:t>mirzaali060@gmail.com</w:t>
        </w:r>
      </w:hyperlink>
    </w:p>
  </w:footnote>
  <w:footnote w:id="2">
    <w:p w:rsidR="00CF1981" w:rsidRDefault="00CF1981" w:rsidP="00CF1981">
      <w:pPr>
        <w:pStyle w:val="FootnoteText"/>
        <w:rPr>
          <w:sz w:val="18"/>
          <w:szCs w:val="18"/>
        </w:rPr>
      </w:pPr>
      <w:r>
        <w:rPr>
          <w:rStyle w:val="FootnoteReference"/>
          <w:sz w:val="18"/>
          <w:szCs w:val="18"/>
        </w:rPr>
        <w:footnoteRef/>
      </w:r>
      <w:r>
        <w:rPr>
          <w:rFonts w:asciiTheme="majorBidi" w:eastAsia="HYGothic-Medium" w:hAnsiTheme="majorBidi" w:cstheme="majorBidi"/>
          <w:iCs/>
          <w:sz w:val="18"/>
          <w:szCs w:val="18"/>
          <w:shd w:val="clear" w:color="auto" w:fill="FFFFFF"/>
        </w:rPr>
        <w:t>Professor</w:t>
      </w:r>
      <w:r w:rsidRPr="00C57B05">
        <w:rPr>
          <w:rFonts w:asciiTheme="majorBidi" w:eastAsia="HYGothic-Medium" w:hAnsiTheme="majorBidi" w:cstheme="majorBidi"/>
          <w:iCs/>
          <w:sz w:val="18"/>
          <w:szCs w:val="18"/>
          <w:shd w:val="clear" w:color="auto" w:fill="FFFFFF"/>
        </w:rPr>
        <w:t>, Department of Civil Engineering</w:t>
      </w:r>
      <w:r>
        <w:rPr>
          <w:rFonts w:asciiTheme="majorBidi" w:eastAsia="HYGothic-Medium" w:hAnsiTheme="majorBidi" w:cstheme="majorBidi"/>
          <w:iCs/>
          <w:sz w:val="18"/>
          <w:szCs w:val="18"/>
          <w:shd w:val="clear" w:color="auto" w:fill="FFFFFF"/>
        </w:rPr>
        <w:t xml:space="preserve">, </w:t>
      </w:r>
      <w:r w:rsidRPr="00C57B05">
        <w:rPr>
          <w:rFonts w:asciiTheme="majorBidi" w:eastAsia="HYGothic-Medium" w:hAnsiTheme="majorBidi" w:cstheme="majorBidi"/>
          <w:iCs/>
          <w:sz w:val="18"/>
          <w:szCs w:val="18"/>
          <w:shd w:val="clear" w:color="auto" w:fill="FFFFFF"/>
        </w:rPr>
        <w:t>Sarhad university of science and IT Peshawar, Pakistan</w:t>
      </w:r>
      <w:r>
        <w:rPr>
          <w:rFonts w:asciiTheme="majorBidi" w:eastAsia="HYGothic-Medium" w:hAnsiTheme="majorBidi" w:cstheme="majorBidi"/>
          <w:iCs/>
          <w:sz w:val="18"/>
          <w:szCs w:val="18"/>
          <w:shd w:val="clear" w:color="auto" w:fill="FFFFFF"/>
        </w:rPr>
        <w:t xml:space="preserve">, </w:t>
      </w:r>
      <w:hyperlink r:id="rId2" w:history="1">
        <w:r w:rsidRPr="00456FBD">
          <w:rPr>
            <w:rStyle w:val="Hyperlink"/>
            <w:rFonts w:asciiTheme="majorBidi" w:eastAsia="HYGothic-Medium" w:hAnsiTheme="majorBidi"/>
            <w:sz w:val="18"/>
            <w:szCs w:val="18"/>
            <w:shd w:val="clear" w:color="auto" w:fill="FFFFFF"/>
          </w:rPr>
          <w:t>shahid.civil@suit.edu.pk</w:t>
        </w:r>
      </w:hyperlink>
      <w:r>
        <w:rPr>
          <w:rFonts w:asciiTheme="majorBidi" w:eastAsia="HYGothic-Medium" w:hAnsiTheme="majorBidi" w:cstheme="majorBidi"/>
          <w:iCs/>
          <w:sz w:val="18"/>
          <w:szCs w:val="18"/>
          <w:shd w:val="clear" w:color="auto" w:fill="FFFFFF"/>
        </w:rPr>
        <w:t xml:space="preserve"> </w:t>
      </w:r>
    </w:p>
  </w:footnote>
  <w:footnote w:id="3">
    <w:p w:rsidR="00CF1981" w:rsidRDefault="00CF1981" w:rsidP="00CF1981">
      <w:pPr>
        <w:pStyle w:val="FootnoteText"/>
        <w:rPr>
          <w:sz w:val="18"/>
          <w:szCs w:val="18"/>
        </w:rPr>
      </w:pPr>
      <w:r>
        <w:rPr>
          <w:rStyle w:val="FootnoteReference"/>
          <w:sz w:val="18"/>
          <w:szCs w:val="18"/>
        </w:rPr>
        <w:footnoteRef/>
      </w:r>
      <w:r>
        <w:rPr>
          <w:rFonts w:asciiTheme="majorBidi" w:eastAsia="HYGothic-Medium" w:hAnsiTheme="majorBidi" w:cstheme="majorBidi"/>
          <w:iCs/>
          <w:sz w:val="18"/>
          <w:szCs w:val="18"/>
          <w:shd w:val="clear" w:color="auto" w:fill="FFFFFF"/>
        </w:rPr>
        <w:t>Executive Engineer, Communication &amp; Works Department, Khyber Pakhtunkhwa, 25000, Pakistan</w:t>
      </w:r>
      <w:r>
        <w:rPr>
          <w:rFonts w:asciiTheme="majorBidi" w:eastAsia="HYGothic-Medium" w:hAnsiTheme="majorBidi" w:cstheme="majorBidi"/>
          <w:i/>
          <w:sz w:val="18"/>
          <w:szCs w:val="18"/>
          <w:shd w:val="clear" w:color="auto" w:fill="FFFFFF"/>
        </w:rPr>
        <w:t xml:space="preserve"> </w:t>
      </w:r>
      <w:hyperlink r:id="rId3" w:history="1">
        <w:r>
          <w:rPr>
            <w:rStyle w:val="Hyperlink"/>
            <w:rFonts w:asciiTheme="majorBidi" w:hAnsiTheme="majorBidi"/>
            <w:sz w:val="18"/>
            <w:szCs w:val="18"/>
          </w:rPr>
          <w:t>waqitanoli@gmail.com</w:t>
        </w:r>
      </w:hyperlink>
      <w:r>
        <w:rPr>
          <w:rStyle w:val="Hyperlink"/>
          <w:rFonts w:asciiTheme="majorBidi" w:hAnsiTheme="majorBidi"/>
          <w:sz w:val="18"/>
          <w:szCs w:val="18"/>
        </w:rPr>
        <w:t>.</w:t>
      </w:r>
    </w:p>
  </w:footnote>
  <w:footnote w:id="4">
    <w:p w:rsidR="00CF1981" w:rsidRDefault="00CF1981" w:rsidP="00CF1981">
      <w:pPr>
        <w:pStyle w:val="FootnoteText"/>
      </w:pPr>
      <w:r>
        <w:rPr>
          <w:rStyle w:val="FootnoteReference"/>
          <w:sz w:val="18"/>
          <w:szCs w:val="18"/>
        </w:rPr>
        <w:footnoteRef/>
      </w:r>
      <w:r>
        <w:rPr>
          <w:rFonts w:asciiTheme="majorBidi" w:hAnsiTheme="majorBidi" w:cstheme="majorBidi"/>
          <w:sz w:val="18"/>
          <w:szCs w:val="18"/>
        </w:rPr>
        <w:t xml:space="preserve">Department of Civil and Environmental Engineering, Universiti Teknologi PETRONAS, Bandar Seri,Iskandar 32610, Malaysia, </w:t>
      </w:r>
      <w:r w:rsidRPr="00414BE5">
        <w:rPr>
          <w:rStyle w:val="Hyperlink"/>
          <w:rFonts w:asciiTheme="majorBidi" w:hAnsiTheme="majorBidi"/>
          <w:sz w:val="18"/>
          <w:szCs w:val="18"/>
        </w:rPr>
        <w:t>ali.musarat@utp.edu.my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981" w:rsidRDefault="00CF198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981" w:rsidRDefault="00CF1981">
    <w:pPr>
      <w:pStyle w:val="Header"/>
      <w:rPr>
        <w:rFonts w:asciiTheme="majorBidi" w:hAnsiTheme="majorBidi" w:cstheme="majorBidi"/>
        <w:b/>
        <w:bCs/>
        <w:sz w:val="16"/>
        <w:szCs w:val="16"/>
        <w:u w:val="single"/>
      </w:rPr>
    </w:pPr>
    <w:r>
      <w:rPr>
        <w:rFonts w:asciiTheme="majorBidi" w:hAnsiTheme="majorBidi" w:cstheme="majorBidi"/>
        <w:b/>
        <w:bCs/>
        <w:sz w:val="16"/>
        <w:szCs w:val="16"/>
        <w:u w:val="single"/>
      </w:rPr>
      <w:t xml:space="preserve">Identification and Assessment of Factors                                                                       Ali et al.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981" w:rsidRDefault="00CF198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A2441"/>
    <w:multiLevelType w:val="multilevel"/>
    <w:tmpl w:val="224A2441"/>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3E82CD4"/>
    <w:multiLevelType w:val="multilevel"/>
    <w:tmpl w:val="23E82CD4"/>
    <w:lvl w:ilvl="0">
      <w:start w:val="1"/>
      <w:numFmt w:val="bullet"/>
      <w:lvlText w:val=""/>
      <w:lvlJc w:val="left"/>
      <w:pPr>
        <w:ind w:left="720" w:hanging="360"/>
      </w:pPr>
      <w:rPr>
        <w:rFonts w:ascii="Symbol" w:hAnsi="Symbol" w:hint="default"/>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4A54059"/>
    <w:multiLevelType w:val="multilevel"/>
    <w:tmpl w:val="44A54059"/>
    <w:lvl w:ilvl="0">
      <w:start w:val="1"/>
      <w:numFmt w:val="decimal"/>
      <w:lvlText w:val="%1."/>
      <w:lvlJc w:val="left"/>
      <w:pPr>
        <w:ind w:left="720" w:hanging="360"/>
      </w:pPr>
      <w:rPr>
        <w:rFonts w:ascii="Times New Roman" w:eastAsia="Times New Roman" w:hAnsi="Times New Roman" w:cs="Times New Roman" w:hint="default"/>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5045C44"/>
    <w:multiLevelType w:val="multilevel"/>
    <w:tmpl w:val="45045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981"/>
    <w:rsid w:val="00205963"/>
    <w:rsid w:val="00267E5A"/>
    <w:rsid w:val="00CF19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CAF6BA-EF53-4CA7-B528-15F436CED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981"/>
    <w:pPr>
      <w:widowControl w:val="0"/>
      <w:wordWrap w:val="0"/>
      <w:autoSpaceDE w:val="0"/>
      <w:autoSpaceDN w:val="0"/>
      <w:spacing w:line="256" w:lineRule="auto"/>
      <w:jc w:val="both"/>
    </w:pPr>
    <w:rPr>
      <w:rFonts w:eastAsiaTheme="minorEastAsia"/>
      <w:kern w:val="2"/>
      <w:sz w:val="20"/>
      <w:lang w:eastAsia="ko-KR"/>
    </w:rPr>
  </w:style>
  <w:style w:type="paragraph" w:styleId="Heading1">
    <w:name w:val="heading 1"/>
    <w:basedOn w:val="Normal"/>
    <w:next w:val="Normal"/>
    <w:link w:val="Heading1Char"/>
    <w:uiPriority w:val="9"/>
    <w:qFormat/>
    <w:rsid w:val="00CF1981"/>
    <w:pPr>
      <w:keepNext/>
      <w:keepLines/>
      <w:numPr>
        <w:numId w:val="1"/>
      </w:numPr>
      <w:spacing w:before="240" w:after="0" w:line="480" w:lineRule="auto"/>
      <w:outlineLvl w:val="0"/>
    </w:pPr>
    <w:rPr>
      <w:rFonts w:ascii="Century Gothic" w:eastAsiaTheme="majorEastAsia" w:hAnsi="Century Gothic" w:cstheme="majorBidi"/>
      <w:b/>
      <w:sz w:val="24"/>
      <w:szCs w:val="32"/>
    </w:rPr>
  </w:style>
  <w:style w:type="paragraph" w:styleId="Heading2">
    <w:name w:val="heading 2"/>
    <w:basedOn w:val="Normal"/>
    <w:next w:val="Normal"/>
    <w:link w:val="Heading2Char"/>
    <w:uiPriority w:val="9"/>
    <w:unhideWhenUsed/>
    <w:qFormat/>
    <w:rsid w:val="00CF1981"/>
    <w:pPr>
      <w:keepNext/>
      <w:keepLines/>
      <w:numPr>
        <w:ilvl w:val="1"/>
        <w:numId w:val="1"/>
      </w:numPr>
      <w:spacing w:before="40" w:after="0"/>
      <w:outlineLvl w:val="1"/>
    </w:pPr>
    <w:rPr>
      <w:rFonts w:ascii="Arial" w:eastAsiaTheme="majorEastAsia" w:hAnsi="Arial" w:cstheme="majorBidi"/>
      <w:color w:val="000000" w:themeColor="text1"/>
      <w:sz w:val="24"/>
      <w:szCs w:val="26"/>
    </w:rPr>
  </w:style>
  <w:style w:type="paragraph" w:styleId="Heading3">
    <w:name w:val="heading 3"/>
    <w:basedOn w:val="Normal"/>
    <w:next w:val="Normal"/>
    <w:link w:val="Heading3Char"/>
    <w:uiPriority w:val="9"/>
    <w:unhideWhenUsed/>
    <w:qFormat/>
    <w:rsid w:val="00CF1981"/>
    <w:pPr>
      <w:keepNext/>
      <w:keepLines/>
      <w:numPr>
        <w:ilvl w:val="2"/>
        <w:numId w:val="1"/>
      </w:numPr>
      <w:spacing w:before="40" w:after="0"/>
      <w:outlineLvl w:val="2"/>
    </w:pPr>
    <w:rPr>
      <w:rFonts w:ascii="Arial" w:eastAsiaTheme="majorEastAsia" w:hAnsi="Arial" w:cstheme="majorBidi"/>
      <w:sz w:val="24"/>
      <w:szCs w:val="24"/>
    </w:rPr>
  </w:style>
  <w:style w:type="paragraph" w:styleId="Heading4">
    <w:name w:val="heading 4"/>
    <w:basedOn w:val="Normal"/>
    <w:next w:val="Normal"/>
    <w:link w:val="Heading4Char"/>
    <w:uiPriority w:val="9"/>
    <w:semiHidden/>
    <w:unhideWhenUsed/>
    <w:qFormat/>
    <w:rsid w:val="00CF1981"/>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F1981"/>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F1981"/>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F1981"/>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F198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198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CF1981"/>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F1981"/>
  </w:style>
  <w:style w:type="paragraph" w:styleId="Footer">
    <w:name w:val="footer"/>
    <w:basedOn w:val="Normal"/>
    <w:link w:val="FooterChar"/>
    <w:uiPriority w:val="99"/>
    <w:unhideWhenUsed/>
    <w:qFormat/>
    <w:rsid w:val="00CF1981"/>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F1981"/>
  </w:style>
  <w:style w:type="character" w:customStyle="1" w:styleId="Heading1Char">
    <w:name w:val="Heading 1 Char"/>
    <w:basedOn w:val="DefaultParagraphFont"/>
    <w:link w:val="Heading1"/>
    <w:uiPriority w:val="9"/>
    <w:qFormat/>
    <w:rsid w:val="00CF1981"/>
    <w:rPr>
      <w:rFonts w:ascii="Century Gothic" w:eastAsiaTheme="majorEastAsia" w:hAnsi="Century Gothic" w:cstheme="majorBidi"/>
      <w:b/>
      <w:kern w:val="2"/>
      <w:sz w:val="24"/>
      <w:szCs w:val="32"/>
      <w:lang w:eastAsia="ko-KR"/>
    </w:rPr>
  </w:style>
  <w:style w:type="character" w:customStyle="1" w:styleId="Heading2Char">
    <w:name w:val="Heading 2 Char"/>
    <w:basedOn w:val="DefaultParagraphFont"/>
    <w:link w:val="Heading2"/>
    <w:uiPriority w:val="9"/>
    <w:qFormat/>
    <w:rsid w:val="00CF1981"/>
    <w:rPr>
      <w:rFonts w:ascii="Arial" w:eastAsiaTheme="majorEastAsia" w:hAnsi="Arial" w:cstheme="majorBidi"/>
      <w:color w:val="000000" w:themeColor="text1"/>
      <w:kern w:val="2"/>
      <w:sz w:val="24"/>
      <w:szCs w:val="26"/>
      <w:lang w:eastAsia="ko-KR"/>
    </w:rPr>
  </w:style>
  <w:style w:type="character" w:customStyle="1" w:styleId="Heading3Char">
    <w:name w:val="Heading 3 Char"/>
    <w:basedOn w:val="DefaultParagraphFont"/>
    <w:link w:val="Heading3"/>
    <w:uiPriority w:val="9"/>
    <w:qFormat/>
    <w:rsid w:val="00CF1981"/>
    <w:rPr>
      <w:rFonts w:ascii="Arial" w:eastAsiaTheme="majorEastAsia" w:hAnsi="Arial" w:cstheme="majorBidi"/>
      <w:kern w:val="2"/>
      <w:sz w:val="24"/>
      <w:szCs w:val="24"/>
      <w:lang w:eastAsia="ko-KR"/>
    </w:rPr>
  </w:style>
  <w:style w:type="character" w:customStyle="1" w:styleId="Heading4Char">
    <w:name w:val="Heading 4 Char"/>
    <w:basedOn w:val="DefaultParagraphFont"/>
    <w:link w:val="Heading4"/>
    <w:uiPriority w:val="9"/>
    <w:semiHidden/>
    <w:qFormat/>
    <w:rsid w:val="00CF1981"/>
    <w:rPr>
      <w:rFonts w:asciiTheme="majorHAnsi" w:eastAsiaTheme="majorEastAsia" w:hAnsiTheme="majorHAnsi" w:cstheme="majorBidi"/>
      <w:i/>
      <w:iCs/>
      <w:color w:val="2E74B5" w:themeColor="accent1" w:themeShade="BF"/>
      <w:kern w:val="2"/>
      <w:sz w:val="20"/>
      <w:lang w:eastAsia="ko-KR"/>
    </w:rPr>
  </w:style>
  <w:style w:type="character" w:customStyle="1" w:styleId="Heading5Char">
    <w:name w:val="Heading 5 Char"/>
    <w:basedOn w:val="DefaultParagraphFont"/>
    <w:link w:val="Heading5"/>
    <w:uiPriority w:val="9"/>
    <w:semiHidden/>
    <w:qFormat/>
    <w:rsid w:val="00CF1981"/>
    <w:rPr>
      <w:rFonts w:asciiTheme="majorHAnsi" w:eastAsiaTheme="majorEastAsia" w:hAnsiTheme="majorHAnsi" w:cstheme="majorBidi"/>
      <w:color w:val="2E74B5" w:themeColor="accent1" w:themeShade="BF"/>
      <w:kern w:val="2"/>
      <w:sz w:val="20"/>
      <w:lang w:eastAsia="ko-KR"/>
    </w:rPr>
  </w:style>
  <w:style w:type="character" w:customStyle="1" w:styleId="Heading6Char">
    <w:name w:val="Heading 6 Char"/>
    <w:basedOn w:val="DefaultParagraphFont"/>
    <w:link w:val="Heading6"/>
    <w:uiPriority w:val="9"/>
    <w:semiHidden/>
    <w:qFormat/>
    <w:rsid w:val="00CF1981"/>
    <w:rPr>
      <w:rFonts w:asciiTheme="majorHAnsi" w:eastAsiaTheme="majorEastAsia" w:hAnsiTheme="majorHAnsi" w:cstheme="majorBidi"/>
      <w:color w:val="1F4D78" w:themeColor="accent1" w:themeShade="7F"/>
      <w:kern w:val="2"/>
      <w:sz w:val="20"/>
      <w:lang w:eastAsia="ko-KR"/>
    </w:rPr>
  </w:style>
  <w:style w:type="character" w:customStyle="1" w:styleId="Heading7Char">
    <w:name w:val="Heading 7 Char"/>
    <w:basedOn w:val="DefaultParagraphFont"/>
    <w:link w:val="Heading7"/>
    <w:uiPriority w:val="9"/>
    <w:semiHidden/>
    <w:qFormat/>
    <w:rsid w:val="00CF1981"/>
    <w:rPr>
      <w:rFonts w:asciiTheme="majorHAnsi" w:eastAsiaTheme="majorEastAsia" w:hAnsiTheme="majorHAnsi" w:cstheme="majorBidi"/>
      <w:i/>
      <w:iCs/>
      <w:color w:val="1F4D78" w:themeColor="accent1" w:themeShade="7F"/>
      <w:kern w:val="2"/>
      <w:sz w:val="20"/>
      <w:lang w:eastAsia="ko-KR"/>
    </w:rPr>
  </w:style>
  <w:style w:type="character" w:customStyle="1" w:styleId="Heading8Char">
    <w:name w:val="Heading 8 Char"/>
    <w:basedOn w:val="DefaultParagraphFont"/>
    <w:link w:val="Heading8"/>
    <w:uiPriority w:val="9"/>
    <w:semiHidden/>
    <w:qFormat/>
    <w:rsid w:val="00CF1981"/>
    <w:rPr>
      <w:rFonts w:asciiTheme="majorHAnsi" w:eastAsiaTheme="majorEastAsia" w:hAnsiTheme="majorHAnsi" w:cstheme="majorBidi"/>
      <w:color w:val="272727" w:themeColor="text1" w:themeTint="D8"/>
      <w:kern w:val="2"/>
      <w:sz w:val="21"/>
      <w:szCs w:val="21"/>
      <w:lang w:eastAsia="ko-KR"/>
    </w:rPr>
  </w:style>
  <w:style w:type="character" w:customStyle="1" w:styleId="Heading9Char">
    <w:name w:val="Heading 9 Char"/>
    <w:basedOn w:val="DefaultParagraphFont"/>
    <w:link w:val="Heading9"/>
    <w:uiPriority w:val="9"/>
    <w:semiHidden/>
    <w:qFormat/>
    <w:rsid w:val="00CF1981"/>
    <w:rPr>
      <w:rFonts w:asciiTheme="majorHAnsi" w:eastAsiaTheme="majorEastAsia" w:hAnsiTheme="majorHAnsi" w:cstheme="majorBidi"/>
      <w:i/>
      <w:iCs/>
      <w:color w:val="272727" w:themeColor="text1" w:themeTint="D8"/>
      <w:kern w:val="2"/>
      <w:sz w:val="21"/>
      <w:szCs w:val="21"/>
      <w:lang w:eastAsia="ko-KR"/>
    </w:rPr>
  </w:style>
  <w:style w:type="paragraph" w:styleId="BalloonText">
    <w:name w:val="Balloon Text"/>
    <w:basedOn w:val="Normal"/>
    <w:link w:val="BalloonTextChar"/>
    <w:uiPriority w:val="99"/>
    <w:semiHidden/>
    <w:unhideWhenUsed/>
    <w:qFormat/>
    <w:rsid w:val="00CF19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CF1981"/>
    <w:rPr>
      <w:rFonts w:ascii="Segoe UI" w:eastAsiaTheme="minorEastAsia" w:hAnsi="Segoe UI" w:cs="Segoe UI"/>
      <w:kern w:val="2"/>
      <w:sz w:val="18"/>
      <w:szCs w:val="18"/>
      <w:lang w:eastAsia="ko-KR"/>
    </w:rPr>
  </w:style>
  <w:style w:type="paragraph" w:styleId="BodyText">
    <w:name w:val="Body Text"/>
    <w:basedOn w:val="Normal"/>
    <w:link w:val="BodyTextChar"/>
    <w:uiPriority w:val="1"/>
    <w:semiHidden/>
    <w:unhideWhenUsed/>
    <w:qFormat/>
    <w:rsid w:val="00CF1981"/>
    <w:pPr>
      <w:wordWrap/>
      <w:spacing w:after="0" w:line="240" w:lineRule="auto"/>
      <w:jc w:val="left"/>
    </w:pPr>
    <w:rPr>
      <w:rFonts w:ascii="LM Roman 12" w:eastAsia="LM Roman 12" w:hAnsi="LM Roman 12" w:cs="LM Roman 12"/>
      <w:kern w:val="0"/>
      <w:sz w:val="24"/>
      <w:szCs w:val="24"/>
      <w:lang w:eastAsia="en-US"/>
    </w:rPr>
  </w:style>
  <w:style w:type="character" w:customStyle="1" w:styleId="BodyTextChar">
    <w:name w:val="Body Text Char"/>
    <w:basedOn w:val="DefaultParagraphFont"/>
    <w:link w:val="BodyText"/>
    <w:uiPriority w:val="1"/>
    <w:semiHidden/>
    <w:qFormat/>
    <w:rsid w:val="00CF1981"/>
    <w:rPr>
      <w:rFonts w:ascii="LM Roman 12" w:eastAsia="LM Roman 12" w:hAnsi="LM Roman 12" w:cs="LM Roman 12"/>
      <w:sz w:val="24"/>
      <w:szCs w:val="24"/>
    </w:rPr>
  </w:style>
  <w:style w:type="paragraph" w:styleId="Caption">
    <w:name w:val="caption"/>
    <w:basedOn w:val="Normal"/>
    <w:next w:val="Normal"/>
    <w:uiPriority w:val="35"/>
    <w:unhideWhenUsed/>
    <w:qFormat/>
    <w:rsid w:val="00CF198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qFormat/>
    <w:rsid w:val="00CF1981"/>
    <w:rPr>
      <w:sz w:val="16"/>
      <w:szCs w:val="16"/>
    </w:rPr>
  </w:style>
  <w:style w:type="paragraph" w:styleId="CommentText">
    <w:name w:val="annotation text"/>
    <w:basedOn w:val="Normal"/>
    <w:link w:val="CommentTextChar"/>
    <w:uiPriority w:val="99"/>
    <w:semiHidden/>
    <w:unhideWhenUsed/>
    <w:qFormat/>
    <w:rsid w:val="00CF1981"/>
    <w:pPr>
      <w:spacing w:line="240" w:lineRule="auto"/>
    </w:pPr>
    <w:rPr>
      <w:szCs w:val="20"/>
    </w:rPr>
  </w:style>
  <w:style w:type="character" w:customStyle="1" w:styleId="CommentTextChar">
    <w:name w:val="Comment Text Char"/>
    <w:basedOn w:val="DefaultParagraphFont"/>
    <w:link w:val="CommentText"/>
    <w:uiPriority w:val="99"/>
    <w:semiHidden/>
    <w:qFormat/>
    <w:rsid w:val="00CF1981"/>
    <w:rPr>
      <w:rFonts w:eastAsiaTheme="minorEastAsia"/>
      <w:kern w:val="2"/>
      <w:sz w:val="20"/>
      <w:szCs w:val="20"/>
      <w:lang w:eastAsia="ko-KR"/>
    </w:rPr>
  </w:style>
  <w:style w:type="paragraph" w:styleId="CommentSubject">
    <w:name w:val="annotation subject"/>
    <w:basedOn w:val="CommentText"/>
    <w:next w:val="CommentText"/>
    <w:link w:val="CommentSubjectChar"/>
    <w:uiPriority w:val="99"/>
    <w:semiHidden/>
    <w:unhideWhenUsed/>
    <w:qFormat/>
    <w:rsid w:val="00CF1981"/>
    <w:rPr>
      <w:b/>
      <w:bCs/>
    </w:rPr>
  </w:style>
  <w:style w:type="character" w:customStyle="1" w:styleId="CommentSubjectChar">
    <w:name w:val="Comment Subject Char"/>
    <w:basedOn w:val="CommentTextChar"/>
    <w:link w:val="CommentSubject"/>
    <w:uiPriority w:val="99"/>
    <w:semiHidden/>
    <w:qFormat/>
    <w:rsid w:val="00CF1981"/>
    <w:rPr>
      <w:rFonts w:eastAsiaTheme="minorEastAsia"/>
      <w:b/>
      <w:bCs/>
      <w:kern w:val="2"/>
      <w:sz w:val="20"/>
      <w:szCs w:val="20"/>
      <w:lang w:eastAsia="ko-KR"/>
    </w:rPr>
  </w:style>
  <w:style w:type="character" w:styleId="Emphasis">
    <w:name w:val="Emphasis"/>
    <w:basedOn w:val="DefaultParagraphFont"/>
    <w:uiPriority w:val="20"/>
    <w:qFormat/>
    <w:rsid w:val="00CF1981"/>
    <w:rPr>
      <w:i/>
      <w:iCs/>
    </w:rPr>
  </w:style>
  <w:style w:type="character" w:styleId="FollowedHyperlink">
    <w:name w:val="FollowedHyperlink"/>
    <w:basedOn w:val="DefaultParagraphFont"/>
    <w:uiPriority w:val="99"/>
    <w:semiHidden/>
    <w:unhideWhenUsed/>
    <w:qFormat/>
    <w:rsid w:val="00CF1981"/>
    <w:rPr>
      <w:color w:val="954F72" w:themeColor="followedHyperlink"/>
      <w:u w:val="single"/>
    </w:rPr>
  </w:style>
  <w:style w:type="character" w:styleId="FootnoteReference">
    <w:name w:val="footnote reference"/>
    <w:basedOn w:val="DefaultParagraphFont"/>
    <w:semiHidden/>
    <w:unhideWhenUsed/>
    <w:qFormat/>
    <w:rsid w:val="00CF1981"/>
    <w:rPr>
      <w:vertAlign w:val="superscript"/>
    </w:rPr>
  </w:style>
  <w:style w:type="paragraph" w:styleId="FootnoteText">
    <w:name w:val="footnote text"/>
    <w:basedOn w:val="Normal"/>
    <w:link w:val="FootnoteTextChar"/>
    <w:uiPriority w:val="99"/>
    <w:semiHidden/>
    <w:unhideWhenUsed/>
    <w:qFormat/>
    <w:rsid w:val="00CF1981"/>
    <w:pPr>
      <w:spacing w:after="0" w:line="240" w:lineRule="auto"/>
    </w:pPr>
    <w:rPr>
      <w:szCs w:val="20"/>
    </w:rPr>
  </w:style>
  <w:style w:type="character" w:customStyle="1" w:styleId="FootnoteTextChar">
    <w:name w:val="Footnote Text Char"/>
    <w:basedOn w:val="DefaultParagraphFont"/>
    <w:link w:val="FootnoteText"/>
    <w:uiPriority w:val="99"/>
    <w:semiHidden/>
    <w:qFormat/>
    <w:rsid w:val="00CF1981"/>
    <w:rPr>
      <w:rFonts w:eastAsiaTheme="minorEastAsia"/>
      <w:kern w:val="2"/>
      <w:sz w:val="20"/>
      <w:szCs w:val="20"/>
      <w:lang w:eastAsia="ko-KR"/>
    </w:rPr>
  </w:style>
  <w:style w:type="character" w:styleId="Hyperlink">
    <w:name w:val="Hyperlink"/>
    <w:basedOn w:val="DefaultParagraphFont"/>
    <w:unhideWhenUsed/>
    <w:qFormat/>
    <w:rsid w:val="00CF1981"/>
    <w:rPr>
      <w:color w:val="0563C1" w:themeColor="hyperlink"/>
      <w:u w:val="single"/>
    </w:rPr>
  </w:style>
  <w:style w:type="character" w:styleId="LineNumber">
    <w:name w:val="line number"/>
    <w:basedOn w:val="DefaultParagraphFont"/>
    <w:uiPriority w:val="99"/>
    <w:semiHidden/>
    <w:unhideWhenUsed/>
    <w:qFormat/>
    <w:rsid w:val="00CF1981"/>
  </w:style>
  <w:style w:type="paragraph" w:styleId="NormalWeb">
    <w:name w:val="Normal (Web)"/>
    <w:basedOn w:val="Normal"/>
    <w:uiPriority w:val="99"/>
    <w:semiHidden/>
    <w:unhideWhenUsed/>
    <w:qFormat/>
    <w:rsid w:val="00CF1981"/>
    <w:pPr>
      <w:widowControl/>
      <w:wordWrap/>
      <w:autoSpaceDE/>
      <w:autoSpaceDN/>
      <w:spacing w:before="100" w:beforeAutospacing="1" w:after="100" w:afterAutospacing="1" w:line="240" w:lineRule="auto"/>
      <w:jc w:val="left"/>
    </w:pPr>
    <w:rPr>
      <w:rFonts w:ascii="Times New Roman" w:hAnsi="Times New Roman" w:cs="Times New Roman"/>
      <w:kern w:val="0"/>
      <w:sz w:val="24"/>
      <w:szCs w:val="24"/>
      <w:lang w:val="en-GB"/>
    </w:rPr>
  </w:style>
  <w:style w:type="table" w:styleId="TableGrid">
    <w:name w:val="Table Grid"/>
    <w:basedOn w:val="TableNormal"/>
    <w:uiPriority w:val="59"/>
    <w:qFormat/>
    <w:rsid w:val="00CF1981"/>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qFormat/>
    <w:rsid w:val="00CF1981"/>
    <w:pPr>
      <w:spacing w:after="0"/>
    </w:pPr>
  </w:style>
  <w:style w:type="paragraph" w:styleId="Title">
    <w:name w:val="Title"/>
    <w:basedOn w:val="Normal"/>
    <w:next w:val="Normal"/>
    <w:link w:val="TitleChar"/>
    <w:uiPriority w:val="1"/>
    <w:qFormat/>
    <w:rsid w:val="00CF19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qFormat/>
    <w:rsid w:val="00CF1981"/>
    <w:rPr>
      <w:rFonts w:asciiTheme="majorHAnsi" w:eastAsiaTheme="majorEastAsia" w:hAnsiTheme="majorHAnsi" w:cstheme="majorBidi"/>
      <w:spacing w:val="-10"/>
      <w:kern w:val="28"/>
      <w:sz w:val="56"/>
      <w:szCs w:val="56"/>
      <w:lang w:eastAsia="ko-KR"/>
    </w:rPr>
  </w:style>
  <w:style w:type="paragraph" w:styleId="ListParagraph">
    <w:name w:val="List Paragraph"/>
    <w:basedOn w:val="Normal"/>
    <w:link w:val="ListParagraphChar"/>
    <w:uiPriority w:val="34"/>
    <w:qFormat/>
    <w:rsid w:val="00CF1981"/>
    <w:pPr>
      <w:ind w:left="720"/>
      <w:contextualSpacing/>
    </w:pPr>
  </w:style>
  <w:style w:type="character" w:customStyle="1" w:styleId="apple-converted-space">
    <w:name w:val="apple-converted-space"/>
    <w:basedOn w:val="DefaultParagraphFont"/>
    <w:qFormat/>
    <w:rsid w:val="00CF1981"/>
  </w:style>
  <w:style w:type="paragraph" w:customStyle="1" w:styleId="ISARCNormal">
    <w:name w:val="ISARC Normal"/>
    <w:basedOn w:val="Normal"/>
    <w:link w:val="ISARCNormalChar"/>
    <w:qFormat/>
    <w:rsid w:val="00CF1981"/>
    <w:pPr>
      <w:wordWrap/>
      <w:autoSpaceDE/>
      <w:autoSpaceDN/>
      <w:snapToGrid w:val="0"/>
      <w:spacing w:before="120" w:after="120" w:line="240" w:lineRule="auto"/>
      <w:ind w:firstLine="284"/>
      <w:contextualSpacing/>
    </w:pPr>
    <w:rPr>
      <w:rFonts w:ascii="Times New Roman" w:eastAsia="SimSun" w:hAnsi="Times New Roman" w:cs="Times New Roman"/>
      <w:kern w:val="0"/>
      <w:lang w:val="en-GB" w:eastAsia="zh-CN"/>
    </w:rPr>
  </w:style>
  <w:style w:type="character" w:customStyle="1" w:styleId="ISARCNormalChar">
    <w:name w:val="ISARC Normal Char"/>
    <w:link w:val="ISARCNormal"/>
    <w:qFormat/>
    <w:rsid w:val="00CF1981"/>
    <w:rPr>
      <w:rFonts w:ascii="Times New Roman" w:eastAsia="SimSun" w:hAnsi="Times New Roman" w:cs="Times New Roman"/>
      <w:sz w:val="20"/>
      <w:lang w:val="en-GB" w:eastAsia="zh-CN"/>
    </w:rPr>
  </w:style>
  <w:style w:type="paragraph" w:customStyle="1" w:styleId="a">
    <w:name w:val="바탕글"/>
    <w:basedOn w:val="Normal"/>
    <w:qFormat/>
    <w:rsid w:val="00CF1981"/>
    <w:pPr>
      <w:spacing w:after="0" w:line="384" w:lineRule="auto"/>
      <w:textAlignment w:val="baseline"/>
    </w:pPr>
    <w:rPr>
      <w:rFonts w:ascii="Batang" w:eastAsia="Times New Roman" w:hAnsi="Times New Roman" w:cs="Times New Roman"/>
      <w:color w:val="000000"/>
      <w:kern w:val="0"/>
      <w:szCs w:val="20"/>
    </w:rPr>
  </w:style>
  <w:style w:type="paragraph" w:customStyle="1" w:styleId="Revision1">
    <w:name w:val="Revision1"/>
    <w:hidden/>
    <w:uiPriority w:val="99"/>
    <w:semiHidden/>
    <w:qFormat/>
    <w:rsid w:val="00CF1981"/>
    <w:pPr>
      <w:spacing w:after="0" w:line="240" w:lineRule="auto"/>
    </w:pPr>
    <w:rPr>
      <w:rFonts w:eastAsiaTheme="minorEastAsia"/>
      <w:kern w:val="2"/>
      <w:sz w:val="20"/>
      <w:lang w:eastAsia="ko-KR"/>
    </w:rPr>
  </w:style>
  <w:style w:type="paragraph" w:customStyle="1" w:styleId="TextRunning">
    <w:name w:val="Text Running"/>
    <w:basedOn w:val="Normal"/>
    <w:qFormat/>
    <w:rsid w:val="00CF1981"/>
    <w:pPr>
      <w:widowControl/>
      <w:wordWrap/>
      <w:autoSpaceDE/>
      <w:autoSpaceDN/>
      <w:spacing w:after="0" w:line="240" w:lineRule="auto"/>
      <w:ind w:firstLine="360"/>
    </w:pPr>
    <w:rPr>
      <w:rFonts w:ascii="Times New Roman" w:eastAsia="Times New Roman" w:hAnsi="Times New Roman" w:cs="Times New Roman"/>
      <w:kern w:val="0"/>
      <w:sz w:val="24"/>
      <w:szCs w:val="20"/>
      <w:lang w:eastAsia="en-US"/>
    </w:rPr>
  </w:style>
  <w:style w:type="character" w:customStyle="1" w:styleId="UnresolvedMention1">
    <w:name w:val="Unresolved Mention1"/>
    <w:basedOn w:val="DefaultParagraphFont"/>
    <w:uiPriority w:val="99"/>
    <w:semiHidden/>
    <w:unhideWhenUsed/>
    <w:qFormat/>
    <w:rsid w:val="00CF1981"/>
    <w:rPr>
      <w:color w:val="808080"/>
      <w:shd w:val="clear" w:color="auto" w:fill="E6E6E6"/>
    </w:rPr>
  </w:style>
  <w:style w:type="paragraph" w:customStyle="1" w:styleId="a0">
    <w:name w:val="저자정보"/>
    <w:basedOn w:val="Normal"/>
    <w:qFormat/>
    <w:rsid w:val="00CF1981"/>
    <w:pPr>
      <w:shd w:val="clear" w:color="auto" w:fill="FFFFFF"/>
      <w:snapToGrid w:val="0"/>
      <w:spacing w:after="0" w:line="240" w:lineRule="auto"/>
      <w:textAlignment w:val="baseline"/>
    </w:pPr>
    <w:rPr>
      <w:rFonts w:ascii="Gulim" w:eastAsia="Gulim" w:hAnsi="Gulim" w:cs="Gulim"/>
      <w:color w:val="000000"/>
      <w:kern w:val="0"/>
      <w:sz w:val="16"/>
      <w:szCs w:val="16"/>
    </w:rPr>
  </w:style>
  <w:style w:type="character" w:customStyle="1" w:styleId="ListParagraphChar">
    <w:name w:val="List Paragraph Char"/>
    <w:link w:val="ListParagraph"/>
    <w:uiPriority w:val="34"/>
    <w:qFormat/>
    <w:locked/>
    <w:rsid w:val="00CF1981"/>
    <w:rPr>
      <w:rFonts w:eastAsiaTheme="minorEastAsia"/>
      <w:kern w:val="2"/>
      <w:sz w:val="20"/>
      <w:lang w:eastAsia="ko-KR"/>
    </w:rPr>
  </w:style>
  <w:style w:type="paragraph" w:customStyle="1" w:styleId="TableParagraph">
    <w:name w:val="Table Paragraph"/>
    <w:basedOn w:val="Normal"/>
    <w:uiPriority w:val="1"/>
    <w:qFormat/>
    <w:rsid w:val="00CF1981"/>
    <w:pPr>
      <w:wordWrap/>
      <w:spacing w:after="0" w:line="267" w:lineRule="exact"/>
      <w:ind w:left="90" w:right="90"/>
      <w:jc w:val="center"/>
    </w:pPr>
    <w:rPr>
      <w:rFonts w:ascii="LM Roman 12" w:eastAsia="LM Roman 12" w:hAnsi="LM Roman 12" w:cs="LM Roman 12"/>
      <w:kern w:val="0"/>
      <w:sz w:val="22"/>
      <w:lang w:eastAsia="en-US"/>
    </w:rPr>
  </w:style>
  <w:style w:type="paragraph" w:customStyle="1" w:styleId="EndNoteBibliography">
    <w:name w:val="EndNote Bibliography"/>
    <w:basedOn w:val="Normal"/>
    <w:link w:val="EndNoteBibliographyChar"/>
    <w:qFormat/>
    <w:rsid w:val="00CF1981"/>
    <w:pPr>
      <w:wordWrap/>
      <w:spacing w:after="0" w:line="240" w:lineRule="auto"/>
      <w:jc w:val="left"/>
    </w:pPr>
    <w:rPr>
      <w:rFonts w:ascii="Century Gothic" w:eastAsia="LM Roman 12" w:hAnsi="Century Gothic" w:cs="Calibri"/>
      <w:kern w:val="0"/>
      <w:sz w:val="24"/>
      <w:lang w:eastAsia="en-US"/>
    </w:rPr>
  </w:style>
  <w:style w:type="character" w:customStyle="1" w:styleId="EndNoteBibliographyChar">
    <w:name w:val="EndNote Bibliography Char"/>
    <w:basedOn w:val="DefaultParagraphFont"/>
    <w:link w:val="EndNoteBibliography"/>
    <w:qFormat/>
    <w:rsid w:val="00CF1981"/>
    <w:rPr>
      <w:rFonts w:ascii="Century Gothic" w:eastAsia="LM Roman 12" w:hAnsi="Century Gothic" w:cs="Calibri"/>
      <w:sz w:val="24"/>
    </w:rPr>
  </w:style>
  <w:style w:type="paragraph" w:customStyle="1" w:styleId="EndNoteBibliographyTitle">
    <w:name w:val="EndNote Bibliography Title"/>
    <w:basedOn w:val="Normal"/>
    <w:link w:val="EndNoteBibliographyTitleChar"/>
    <w:qFormat/>
    <w:rsid w:val="00CF1981"/>
    <w:pPr>
      <w:spacing w:after="0"/>
      <w:jc w:val="center"/>
    </w:pPr>
    <w:rPr>
      <w:rFonts w:ascii="Century Gothic" w:hAnsi="Century Gothic" w:cs="Calibri"/>
      <w:sz w:val="24"/>
    </w:rPr>
  </w:style>
  <w:style w:type="character" w:customStyle="1" w:styleId="EndNoteBibliographyTitleChar">
    <w:name w:val="EndNote Bibliography Title Char"/>
    <w:basedOn w:val="DefaultParagraphFont"/>
    <w:link w:val="EndNoteBibliographyTitle"/>
    <w:qFormat/>
    <w:rsid w:val="00CF1981"/>
    <w:rPr>
      <w:rFonts w:ascii="Century Gothic" w:eastAsiaTheme="minorEastAsia" w:hAnsi="Century Gothic" w:cs="Calibri"/>
      <w:kern w:val="2"/>
      <w:sz w:val="24"/>
      <w:lang w:eastAsia="ko-KR"/>
    </w:rPr>
  </w:style>
  <w:style w:type="character" w:styleId="PlaceholderText">
    <w:name w:val="Placeholder Text"/>
    <w:basedOn w:val="DefaultParagraphFont"/>
    <w:uiPriority w:val="99"/>
    <w:semiHidden/>
    <w:qFormat/>
    <w:rsid w:val="00CF1981"/>
    <w:rPr>
      <w:color w:val="808080"/>
    </w:rPr>
  </w:style>
  <w:style w:type="character" w:customStyle="1" w:styleId="UnresolvedMention2">
    <w:name w:val="Unresolved Mention2"/>
    <w:basedOn w:val="DefaultParagraphFont"/>
    <w:uiPriority w:val="99"/>
    <w:semiHidden/>
    <w:unhideWhenUsed/>
    <w:qFormat/>
    <w:rsid w:val="00CF1981"/>
    <w:rPr>
      <w:color w:val="605E5C"/>
      <w:shd w:val="clear" w:color="auto" w:fill="E1DFDD"/>
    </w:rPr>
  </w:style>
  <w:style w:type="character" w:customStyle="1" w:styleId="UnresolvedMention3">
    <w:name w:val="Unresolved Mention3"/>
    <w:basedOn w:val="DefaultParagraphFont"/>
    <w:uiPriority w:val="99"/>
    <w:semiHidden/>
    <w:unhideWhenUsed/>
    <w:qFormat/>
    <w:rsid w:val="00CF1981"/>
    <w:rPr>
      <w:color w:val="605E5C"/>
      <w:shd w:val="clear" w:color="auto" w:fill="E1DFDD"/>
    </w:rPr>
  </w:style>
  <w:style w:type="character" w:customStyle="1" w:styleId="anonymous-show">
    <w:name w:val="anonymous-show"/>
    <w:basedOn w:val="DefaultParagraphFont"/>
    <w:qFormat/>
    <w:rsid w:val="00CF1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List_of_universities_in_Pakistan"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mailto:waqitanoli@gmail.com" TargetMode="External"/><Relationship Id="rId2" Type="http://schemas.openxmlformats.org/officeDocument/2006/relationships/hyperlink" Target="mailto:shahid.civil@suit.edu.pk" TargetMode="External"/><Relationship Id="rId1" Type="http://schemas.openxmlformats.org/officeDocument/2006/relationships/hyperlink" Target="mailto:mirzaali06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htt23</b:Tag>
    <b:SourceType>InternetSite</b:SourceType>
    <b:Guid>{4052A69F-B52A-4237-BD0E-3B26D6A78E49}</b:Guid>
    <b:Title>List of universities in Pakistan</b:Title>
    <b:Year>2023</b:Year>
    <b:Author>
      <b:Author>
        <b:NameList>
          <b:Person>
            <b:Last>https://www.wikimediafoundation.org/</b:Last>
          </b:Person>
        </b:NameList>
      </b:Author>
    </b:Author>
    <b:InternetSiteTitle>wikipedia</b:InternetSiteTitle>
    <b:Month>June</b:Month>
    <b:Day>11</b:Day>
    <b:URL>https://en.wikipedia.org/wiki/List_of_universities_in_Pakistan#References</b:URL>
    <b:RefOrder>1</b:RefOrder>
  </b:Source>
</b:Sources>
</file>

<file path=customXml/itemProps1.xml><?xml version="1.0" encoding="utf-8"?>
<ds:datastoreItem xmlns:ds="http://schemas.openxmlformats.org/officeDocument/2006/customXml" ds:itemID="{1DD941B4-674E-4DA8-932C-3AB496324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12233</Words>
  <Characters>69734</Characters>
  <Application>Microsoft Office Word</Application>
  <DocSecurity>0</DocSecurity>
  <Lines>581</Lines>
  <Paragraphs>163</Paragraphs>
  <ScaleCrop>false</ScaleCrop>
  <Company/>
  <LinksUpToDate>false</LinksUpToDate>
  <CharactersWithSpaces>81804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amazon</dc:creator>
  <cp:keywords/>
  <dc:description/>
  <cp:lastModifiedBy>amazon</cp:lastModifiedBy>
  <cp:revision>1</cp:revision>
  <dcterms:created xsi:type="dcterms:W3CDTF">2023-11-07T06:30:00Z</dcterms:created>
  <dcterms:modified xsi:type="dcterms:W3CDTF">2023-11-07T06:31:00Z</dcterms:modified>
</cp:coreProperties>
</file>